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br/>
        <w:t>USER REQUIREMENTS SPECIFICATION</w:t>
        <w:br/>
      </w:r>
      <w:r>
        <w:rPr>
          <w:b/>
          <w:sz w:val="46"/>
        </w:rPr>
        <w:t>PHARMACEUTICAL HIGH-SPEED TABLET COMPRESSION MACHINE</w:t>
      </w:r>
      <w:r>
        <w:rPr>
          <w:b/>
        </w:rPr>
        <w:br/>
        <w:br/>
        <w:t>INCLUDING AUTOMATION, CSV, DATA INTEGRITY, CYBERSECURITY &amp; GMP REQUIREMENTS</w:t>
      </w:r>
      <w:r>
        <w:br/>
        <w:br/>
        <w:t>Document No.: CM-URS-001</w:t>
        <w:br/>
        <w:t>Revision: 00</w:t>
        <w:br/>
        <w:t>Status: Draft for Technical Review</w:t>
        <w:br/>
        <w:t>Application: Oral Solid Dosage Manufacturing</w:t>
        <w:br/>
        <w:t>Vendor-Neutral Master URS</w:t>
      </w:r>
    </w:p>
    <w:p>
      <w:r>
        <w:br w:type="page"/>
      </w:r>
    </w:p>
    <w:p>
      <w:pPr>
        <w:pStyle w:val="Heading1"/>
      </w:pPr>
      <w:r>
        <w:t>Executive Summary</w:t>
      </w:r>
    </w:p>
    <w:p>
      <w:r>
        <w:t>This User Requirements Specification (URS) defines the process, mechanical, tooling, electrical, automation, GMP, safety, computerized-system, data-integrity, cybersecurity, qualification and lifecycle requirements for a high-speed pharmaceutical tablet compression machine. It is intended to support procurement, vendor technical evaluation, design review, DQ, FAT, SAT, IQ, OQ, PQ, CSV and GMP inspection readiness.</w:t>
      </w:r>
    </w:p>
    <w:p>
      <w:r>
        <w:t>The document deliberately avoids unsupported product-specific numerical limits. Where a value depends on product, tooling, process development, facility utilities or risk assessment, the requirement states: “To be defined based on approved process requirement, risk assessment, and engineering design.”</w:t>
      </w:r>
    </w:p>
    <w:p>
      <w:pPr>
        <w:pStyle w:val="Heading1"/>
      </w:pPr>
      <w:r>
        <w:t>1. Document Control</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Field</w:t>
            </w:r>
          </w:p>
        </w:tc>
        <w:tc>
          <w:tcPr>
            <w:tcW w:type="dxa" w:w="5112"/>
            <w:shd w:fill="D9EAF7"/>
          </w:tcPr>
          <w:p>
            <w:r>
              <w:rPr>
                <w:b/>
                <w:sz w:val="15"/>
              </w:rPr>
              <w:t>Requirement</w:t>
            </w:r>
          </w:p>
        </w:tc>
      </w:tr>
      <w:tr>
        <w:tc>
          <w:tcPr>
            <w:tcW w:type="dxa" w:w="5112"/>
            <w:vAlign w:val="center"/>
          </w:tcPr>
          <w:p>
            <w:r>
              <w:rPr>
                <w:sz w:val="15"/>
              </w:rPr>
              <w:t>Document Title</w:t>
            </w:r>
          </w:p>
        </w:tc>
        <w:tc>
          <w:tcPr>
            <w:tcW w:type="dxa" w:w="5112"/>
            <w:vAlign w:val="center"/>
          </w:tcPr>
          <w:p>
            <w:r>
              <w:rPr>
                <w:sz w:val="15"/>
              </w:rPr>
              <w:t>User Requirements Specification – Pharmaceutical High-Speed Tablet Compression Machine</w:t>
            </w:r>
          </w:p>
        </w:tc>
      </w:tr>
      <w:tr>
        <w:tc>
          <w:tcPr>
            <w:tcW w:type="dxa" w:w="5112"/>
            <w:vAlign w:val="center"/>
          </w:tcPr>
          <w:p>
            <w:r>
              <w:rPr>
                <w:sz w:val="15"/>
              </w:rPr>
              <w:t>Document Number</w:t>
            </w:r>
          </w:p>
        </w:tc>
        <w:tc>
          <w:tcPr>
            <w:tcW w:type="dxa" w:w="5112"/>
            <w:vAlign w:val="center"/>
          </w:tcPr>
          <w:p>
            <w:r>
              <w:rPr>
                <w:sz w:val="15"/>
              </w:rPr>
              <w:t>CM-URS-001</w:t>
            </w:r>
          </w:p>
        </w:tc>
      </w:tr>
      <w:tr>
        <w:tc>
          <w:tcPr>
            <w:tcW w:type="dxa" w:w="5112"/>
            <w:vAlign w:val="center"/>
          </w:tcPr>
          <w:p>
            <w:r>
              <w:rPr>
                <w:sz w:val="15"/>
              </w:rPr>
              <w:t>Equipment/System Name</w:t>
            </w:r>
          </w:p>
        </w:tc>
        <w:tc>
          <w:tcPr>
            <w:tcW w:type="dxa" w:w="5112"/>
            <w:vAlign w:val="center"/>
          </w:tcPr>
          <w:p>
            <w:r>
              <w:rPr>
                <w:sz w:val="15"/>
              </w:rPr>
              <w:t>High-Speed Tablet Compression Machine</w:t>
            </w:r>
          </w:p>
        </w:tc>
      </w:tr>
      <w:tr>
        <w:tc>
          <w:tcPr>
            <w:tcW w:type="dxa" w:w="5112"/>
            <w:vAlign w:val="center"/>
          </w:tcPr>
          <w:p>
            <w:r>
              <w:rPr>
                <w:sz w:val="15"/>
              </w:rPr>
              <w:t>Equipment ID</w:t>
            </w:r>
          </w:p>
        </w:tc>
        <w:tc>
          <w:tcPr>
            <w:tcW w:type="dxa" w:w="5112"/>
            <w:vAlign w:val="center"/>
          </w:tcPr>
          <w:p>
            <w:r>
              <w:rPr>
                <w:sz w:val="15"/>
              </w:rPr>
              <w:t>To be assigned</w:t>
            </w:r>
          </w:p>
        </w:tc>
      </w:tr>
      <w:tr>
        <w:tc>
          <w:tcPr>
            <w:tcW w:type="dxa" w:w="5112"/>
            <w:vAlign w:val="center"/>
          </w:tcPr>
          <w:p>
            <w:r>
              <w:rPr>
                <w:sz w:val="15"/>
              </w:rPr>
              <w:t>Project Name</w:t>
            </w:r>
          </w:p>
        </w:tc>
        <w:tc>
          <w:tcPr>
            <w:tcW w:type="dxa" w:w="5112"/>
            <w:vAlign w:val="center"/>
          </w:tcPr>
          <w:p>
            <w:r>
              <w:rPr>
                <w:sz w:val="15"/>
              </w:rPr>
              <w:t>To be defined</w:t>
            </w:r>
          </w:p>
        </w:tc>
      </w:tr>
      <w:tr>
        <w:tc>
          <w:tcPr>
            <w:tcW w:type="dxa" w:w="5112"/>
            <w:vAlign w:val="center"/>
          </w:tcPr>
          <w:p>
            <w:r>
              <w:rPr>
                <w:sz w:val="15"/>
              </w:rPr>
              <w:t>Department</w:t>
            </w:r>
          </w:p>
        </w:tc>
        <w:tc>
          <w:tcPr>
            <w:tcW w:type="dxa" w:w="5112"/>
            <w:vAlign w:val="center"/>
          </w:tcPr>
          <w:p>
            <w:r>
              <w:rPr>
                <w:sz w:val="15"/>
              </w:rPr>
              <w:t>Production / Engineering / QA / Validation</w:t>
            </w:r>
          </w:p>
        </w:tc>
      </w:tr>
      <w:tr>
        <w:tc>
          <w:tcPr>
            <w:tcW w:type="dxa" w:w="5112"/>
            <w:vAlign w:val="center"/>
          </w:tcPr>
          <w:p>
            <w:r>
              <w:rPr>
                <w:sz w:val="15"/>
              </w:rPr>
              <w:t>Site/Location</w:t>
            </w:r>
          </w:p>
        </w:tc>
        <w:tc>
          <w:tcPr>
            <w:tcW w:type="dxa" w:w="5112"/>
            <w:vAlign w:val="center"/>
          </w:tcPr>
          <w:p>
            <w:r>
              <w:rPr>
                <w:sz w:val="15"/>
              </w:rPr>
              <w:t>To be defined</w:t>
            </w:r>
          </w:p>
        </w:tc>
      </w:tr>
      <w:tr>
        <w:tc>
          <w:tcPr>
            <w:tcW w:type="dxa" w:w="5112"/>
            <w:vAlign w:val="center"/>
          </w:tcPr>
          <w:p>
            <w:r>
              <w:rPr>
                <w:sz w:val="15"/>
              </w:rPr>
              <w:t>Revision</w:t>
            </w:r>
          </w:p>
        </w:tc>
        <w:tc>
          <w:tcPr>
            <w:tcW w:type="dxa" w:w="5112"/>
            <w:vAlign w:val="center"/>
          </w:tcPr>
          <w:p>
            <w:r>
              <w:rPr>
                <w:sz w:val="15"/>
              </w:rPr>
              <w:t>00</w:t>
            </w:r>
          </w:p>
        </w:tc>
      </w:tr>
      <w:tr>
        <w:tc>
          <w:tcPr>
            <w:tcW w:type="dxa" w:w="5112"/>
            <w:vAlign w:val="center"/>
          </w:tcPr>
          <w:p>
            <w:r>
              <w:rPr>
                <w:sz w:val="15"/>
              </w:rPr>
              <w:t>Effective Date</w:t>
            </w:r>
          </w:p>
        </w:tc>
        <w:tc>
          <w:tcPr>
            <w:tcW w:type="dxa" w:w="5112"/>
            <w:vAlign w:val="center"/>
          </w:tcPr>
          <w:p>
            <w:r>
              <w:rPr>
                <w:sz w:val="15"/>
              </w:rPr>
              <w:t>To be defined</w:t>
            </w:r>
          </w:p>
        </w:tc>
      </w:tr>
      <w:tr>
        <w:tc>
          <w:tcPr>
            <w:tcW w:type="dxa" w:w="5112"/>
            <w:vAlign w:val="center"/>
          </w:tcPr>
          <w:p>
            <w:r>
              <w:rPr>
                <w:sz w:val="15"/>
              </w:rPr>
              <w:t>Supersedes</w:t>
            </w:r>
          </w:p>
        </w:tc>
        <w:tc>
          <w:tcPr>
            <w:tcW w:type="dxa" w:w="5112"/>
            <w:vAlign w:val="center"/>
          </w:tcPr>
          <w:p>
            <w:r>
              <w:rPr>
                <w:sz w:val="15"/>
              </w:rPr>
              <w:t>New</w:t>
            </w:r>
          </w:p>
        </w:tc>
      </w:tr>
      <w:tr>
        <w:tc>
          <w:tcPr>
            <w:tcW w:type="dxa" w:w="5112"/>
            <w:vAlign w:val="center"/>
          </w:tcPr>
          <w:p>
            <w:r>
              <w:rPr>
                <w:sz w:val="15"/>
              </w:rPr>
              <w:t>Prepared By</w:t>
            </w:r>
          </w:p>
        </w:tc>
        <w:tc>
          <w:tcPr>
            <w:tcW w:type="dxa" w:w="5112"/>
            <w:vAlign w:val="center"/>
          </w:tcPr>
          <w:p>
            <w:r>
              <w:rPr>
                <w:sz w:val="15"/>
              </w:rPr>
              <w:t>To be defined</w:t>
            </w:r>
          </w:p>
        </w:tc>
      </w:tr>
      <w:tr>
        <w:tc>
          <w:tcPr>
            <w:tcW w:type="dxa" w:w="5112"/>
            <w:vAlign w:val="center"/>
          </w:tcPr>
          <w:p>
            <w:r>
              <w:rPr>
                <w:sz w:val="15"/>
              </w:rPr>
              <w:t>Reviewed By</w:t>
            </w:r>
          </w:p>
        </w:tc>
        <w:tc>
          <w:tcPr>
            <w:tcW w:type="dxa" w:w="5112"/>
            <w:vAlign w:val="center"/>
          </w:tcPr>
          <w:p>
            <w:r>
              <w:rPr>
                <w:sz w:val="15"/>
              </w:rPr>
              <w:t>To be defined</w:t>
            </w:r>
          </w:p>
        </w:tc>
      </w:tr>
      <w:tr>
        <w:tc>
          <w:tcPr>
            <w:tcW w:type="dxa" w:w="5112"/>
            <w:vAlign w:val="center"/>
          </w:tcPr>
          <w:p>
            <w:r>
              <w:rPr>
                <w:sz w:val="15"/>
              </w:rPr>
              <w:t>Approved By</w:t>
            </w:r>
          </w:p>
        </w:tc>
        <w:tc>
          <w:tcPr>
            <w:tcW w:type="dxa" w:w="5112"/>
            <w:vAlign w:val="center"/>
          </w:tcPr>
          <w:p>
            <w:r>
              <w:rPr>
                <w:sz w:val="15"/>
              </w:rPr>
              <w:t>To be defined</w:t>
            </w:r>
          </w:p>
        </w:tc>
      </w:tr>
    </w:tbl>
    <w:p/>
    <w:p>
      <w:pPr>
        <w:pStyle w:val="Heading2"/>
      </w:pPr>
      <w:r>
        <w:t>Revision History</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rPr>
          <w:tblHeader w:val="true"/>
        </w:trPr>
        <w:tc>
          <w:tcPr>
            <w:tcW w:type="dxa" w:w="1704"/>
            <w:shd w:fill="D9EAF7"/>
          </w:tcPr>
          <w:p>
            <w:r>
              <w:rPr>
                <w:b/>
                <w:sz w:val="15"/>
              </w:rPr>
              <w:t>Revision</w:t>
            </w:r>
          </w:p>
        </w:tc>
        <w:tc>
          <w:tcPr>
            <w:tcW w:type="dxa" w:w="1704"/>
            <w:shd w:fill="D9EAF7"/>
          </w:tcPr>
          <w:p>
            <w:r>
              <w:rPr>
                <w:b/>
                <w:sz w:val="15"/>
              </w:rPr>
              <w:t>Date</w:t>
            </w:r>
          </w:p>
        </w:tc>
        <w:tc>
          <w:tcPr>
            <w:tcW w:type="dxa" w:w="1704"/>
            <w:shd w:fill="D9EAF7"/>
          </w:tcPr>
          <w:p>
            <w:r>
              <w:rPr>
                <w:b/>
                <w:sz w:val="15"/>
              </w:rPr>
              <w:t>Description</w:t>
            </w:r>
          </w:p>
        </w:tc>
        <w:tc>
          <w:tcPr>
            <w:tcW w:type="dxa" w:w="1704"/>
            <w:shd w:fill="D9EAF7"/>
          </w:tcPr>
          <w:p>
            <w:r>
              <w:rPr>
                <w:b/>
                <w:sz w:val="15"/>
              </w:rPr>
              <w:t>Prepared By</w:t>
            </w:r>
          </w:p>
        </w:tc>
        <w:tc>
          <w:tcPr>
            <w:tcW w:type="dxa" w:w="1704"/>
            <w:shd w:fill="D9EAF7"/>
          </w:tcPr>
          <w:p>
            <w:r>
              <w:rPr>
                <w:b/>
                <w:sz w:val="15"/>
              </w:rPr>
              <w:t>Reviewed By</w:t>
            </w:r>
          </w:p>
        </w:tc>
        <w:tc>
          <w:tcPr>
            <w:tcW w:type="dxa" w:w="1704"/>
            <w:shd w:fill="D9EAF7"/>
          </w:tcPr>
          <w:p>
            <w:r>
              <w:rPr>
                <w:b/>
                <w:sz w:val="15"/>
              </w:rPr>
              <w:t>Approved By</w:t>
            </w:r>
          </w:p>
        </w:tc>
      </w:tr>
      <w:tr>
        <w:tc>
          <w:tcPr>
            <w:tcW w:type="dxa" w:w="1704"/>
            <w:vAlign w:val="center"/>
          </w:tcPr>
          <w:p>
            <w:r>
              <w:rPr>
                <w:sz w:val="15"/>
              </w:rPr>
              <w:t>00</w:t>
            </w:r>
          </w:p>
        </w:tc>
        <w:tc>
          <w:tcPr>
            <w:tcW w:type="dxa" w:w="1704"/>
            <w:vAlign w:val="center"/>
          </w:tcPr>
          <w:p>
            <w:r>
              <w:rPr>
                <w:sz w:val="15"/>
              </w:rPr>
              <w:t>TBD</w:t>
            </w:r>
          </w:p>
        </w:tc>
        <w:tc>
          <w:tcPr>
            <w:tcW w:type="dxa" w:w="1704"/>
            <w:vAlign w:val="center"/>
          </w:tcPr>
          <w:p>
            <w:r>
              <w:rPr>
                <w:sz w:val="15"/>
              </w:rPr>
              <w:t>Initial issue</w:t>
            </w:r>
          </w:p>
        </w:tc>
        <w:tc>
          <w:tcPr>
            <w:tcW w:type="dxa" w:w="1704"/>
            <w:vAlign w:val="center"/>
          </w:tcPr>
          <w:p>
            <w:r>
              <w:rPr>
                <w:sz w:val="15"/>
              </w:rPr>
              <w:t>TBD</w:t>
            </w:r>
          </w:p>
        </w:tc>
        <w:tc>
          <w:tcPr>
            <w:tcW w:type="dxa" w:w="1704"/>
            <w:vAlign w:val="center"/>
          </w:tcPr>
          <w:p>
            <w:r>
              <w:rPr>
                <w:sz w:val="15"/>
              </w:rPr>
              <w:t>TBD</w:t>
            </w:r>
          </w:p>
        </w:tc>
        <w:tc>
          <w:tcPr>
            <w:tcW w:type="dxa" w:w="1704"/>
            <w:vAlign w:val="center"/>
          </w:tcPr>
          <w:p>
            <w:r>
              <w:rPr>
                <w:sz w:val="15"/>
              </w:rPr>
              <w:t>TBD</w:t>
            </w:r>
          </w:p>
        </w:tc>
      </w:tr>
    </w:tbl>
    <w:p/>
    <w:p>
      <w:pPr>
        <w:pStyle w:val="Heading1"/>
      </w:pPr>
      <w:r>
        <w:t>2. Purpose</w:t>
      </w:r>
    </w:p>
    <w:p>
      <w:r>
        <w:t>The purpose of this URS is to establish the user, process, equipment, GMP, safety, automation, CSV, data-integrity, cybersecurity, qualification and documentation requirements for procurement and implementation of a pharmaceutical tablet compression machine. The URS shall be used as the baseline for supplier selection, design, qualification, validation, operation, maintenance, change control and lifecycle management.</w:t>
      </w:r>
    </w:p>
    <w:p>
      <w:pPr>
        <w:pStyle w:val="Heading1"/>
      </w:pPr>
      <w:r>
        <w:t>3. Scope and System Boundaries</w:t>
      </w:r>
    </w:p>
    <w:p>
      <w:pPr>
        <w:pStyle w:val="ListBullet"/>
      </w:pPr>
      <w:r>
        <w:t>Tablet press, turret, punch and die tooling, punch guides, cams and compression rollers.</w:t>
      </w:r>
    </w:p>
    <w:p>
      <w:pPr>
        <w:pStyle w:val="ListBullet"/>
      </w:pPr>
      <w:r>
        <w:t>Hopper, feeder/force feeder, feed frame, scraper, lubrication system and tablet take-off/ejection system.</w:t>
      </w:r>
    </w:p>
    <w:p>
      <w:pPr>
        <w:pStyle w:val="ListBullet"/>
      </w:pPr>
      <w:r>
        <w:t>Pre-compression and main-compression systems and force-monitoring instrumentation.</w:t>
      </w:r>
    </w:p>
    <w:p>
      <w:pPr>
        <w:pStyle w:val="ListBullet"/>
      </w:pPr>
      <w:r>
        <w:t>Tablet weight-control functions where integrated.</w:t>
      </w:r>
    </w:p>
    <w:p>
      <w:pPr>
        <w:pStyle w:val="ListBullet"/>
      </w:pPr>
      <w:r>
        <w:t>Automatic reject system and interfaces to deduster, metal detector, checkweigher, conveyor and collection systems.</w:t>
      </w:r>
    </w:p>
    <w:p>
      <w:pPr>
        <w:pStyle w:val="ListBullet"/>
      </w:pPr>
      <w:r>
        <w:t>Dust extraction/vacuum interface and containment controls.</w:t>
      </w:r>
    </w:p>
    <w:p>
      <w:pPr>
        <w:pStyle w:val="ListBullet"/>
      </w:pPr>
      <w:r>
        <w:t>PLC, HMI, SCADA/historian/database where applicable, recipes, alarms, reports and interfaces.</w:t>
      </w:r>
    </w:p>
    <w:p>
      <w:pPr>
        <w:pStyle w:val="ListBullet"/>
      </w:pPr>
      <w:r>
        <w:t>Electronic records/electronic signatures where applicable, audit trail, user management, backup/restore and cybersecurity.</w:t>
      </w:r>
    </w:p>
    <w:p>
      <w:pPr>
        <w:pStyle w:val="ListBullet"/>
      </w:pPr>
      <w:r>
        <w:t>Machine safety, guarding, interlocks, emergency stop and downstream equipment handshake.</w:t>
      </w:r>
    </w:p>
    <w:p>
      <w:pPr>
        <w:pStyle w:val="ListBullet"/>
      </w:pPr>
      <w:r>
        <w:t>Vendor documentation, training, spare parts, maintenance and obsolescence management.</w:t>
      </w:r>
    </w:p>
    <w:p>
      <w:r>
        <w:t>System boundaries, data flows, utilities and external interfaces shall be documented in the approved functional/design specifications.</w:t>
      </w:r>
    </w:p>
    <w:p>
      <w:pPr>
        <w:pStyle w:val="Heading1"/>
      </w:pPr>
      <w:r>
        <w:t>4. Intended Process Description</w:t>
      </w:r>
    </w:p>
    <w:p>
      <w:r>
        <w:t>The tablet compression machine shall receive an approved granulation/blend, feed it consistently into dies, apply pre-compression and main compression, eject tablets and discharge them to the downstream process. The process shall support controlled tablet weight, mechanical integrity and reproducible output while minimizing segregation, sticking, picking, capping, lamination, weight variation, tooling damage and cross-contamination.</w:t>
      </w:r>
    </w:p>
    <w:p>
      <w:r>
        <w:t>Typical sequence: Material charging → Hopper filling → Feeding → Die filling → Pre-compression → Main compression → Ejection → Take-off → Dedusting → Metal detection/checking → Rejection → Discharge.</w:t>
      </w:r>
    </w:p>
    <w:p>
      <w:pPr>
        <w:pStyle w:val="Heading1"/>
      </w:pPr>
      <w:r>
        <w:t>5. Critical Process Parameters and CQAs</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shd w:fill="D9EAF7"/>
          </w:tcPr>
          <w:p>
            <w:r>
              <w:rPr>
                <w:b/>
                <w:sz w:val="15"/>
              </w:rPr>
              <w:t>CPP / Parameter</w:t>
            </w:r>
          </w:p>
        </w:tc>
        <w:tc>
          <w:tcPr>
            <w:tcW w:type="dxa" w:w="2556"/>
            <w:shd w:fill="D9EAF7"/>
          </w:tcPr>
          <w:p>
            <w:r>
              <w:rPr>
                <w:b/>
                <w:sz w:val="15"/>
              </w:rPr>
              <w:t>Purpose</w:t>
            </w:r>
          </w:p>
        </w:tc>
        <w:tc>
          <w:tcPr>
            <w:tcW w:type="dxa" w:w="2556"/>
            <w:shd w:fill="D9EAF7"/>
          </w:tcPr>
          <w:p>
            <w:r>
              <w:rPr>
                <w:b/>
                <w:sz w:val="15"/>
              </w:rPr>
              <w:t>Control / Monitoring</w:t>
            </w:r>
          </w:p>
        </w:tc>
        <w:tc>
          <w:tcPr>
            <w:tcW w:type="dxa" w:w="2556"/>
            <w:shd w:fill="D9EAF7"/>
          </w:tcPr>
          <w:p>
            <w:r>
              <w:rPr>
                <w:b/>
                <w:sz w:val="15"/>
              </w:rPr>
              <w:t>Criticality</w:t>
            </w:r>
          </w:p>
        </w:tc>
      </w:tr>
      <w:tr>
        <w:tc>
          <w:tcPr>
            <w:tcW w:type="dxa" w:w="2556"/>
            <w:vAlign w:val="center"/>
          </w:tcPr>
          <w:p>
            <w:r>
              <w:rPr>
                <w:sz w:val="15"/>
              </w:rPr>
              <w:t>Turret speed</w:t>
            </w:r>
          </w:p>
        </w:tc>
        <w:tc>
          <w:tcPr>
            <w:tcW w:type="dxa" w:w="2556"/>
            <w:vAlign w:val="center"/>
          </w:tcPr>
          <w:p>
            <w:r>
              <w:rPr>
                <w:sz w:val="15"/>
              </w:rPr>
              <w:t>Controls production rate and dwell time</w:t>
            </w:r>
          </w:p>
        </w:tc>
        <w:tc>
          <w:tcPr>
            <w:tcW w:type="dxa" w:w="2556"/>
            <w:vAlign w:val="center"/>
          </w:tcPr>
          <w:p>
            <w:r>
              <w:rPr>
                <w:sz w:val="15"/>
              </w:rPr>
              <w:t>PLC/VFD/encoder</w:t>
            </w:r>
          </w:p>
        </w:tc>
        <w:tc>
          <w:tcPr>
            <w:tcW w:type="dxa" w:w="2556"/>
            <w:vAlign w:val="center"/>
          </w:tcPr>
          <w:p>
            <w:r>
              <w:rPr>
                <w:sz w:val="15"/>
              </w:rPr>
              <w:t>GMP Critical</w:t>
            </w:r>
          </w:p>
        </w:tc>
      </w:tr>
      <w:tr>
        <w:tc>
          <w:tcPr>
            <w:tcW w:type="dxa" w:w="2556"/>
            <w:vAlign w:val="center"/>
          </w:tcPr>
          <w:p>
            <w:r>
              <w:rPr>
                <w:sz w:val="15"/>
              </w:rPr>
              <w:t>Feeder speed</w:t>
            </w:r>
          </w:p>
        </w:tc>
        <w:tc>
          <w:tcPr>
            <w:tcW w:type="dxa" w:w="2556"/>
            <w:vAlign w:val="center"/>
          </w:tcPr>
          <w:p>
            <w:r>
              <w:rPr>
                <w:sz w:val="15"/>
              </w:rPr>
              <w:t>Controls powder/granule feeding</w:t>
            </w:r>
          </w:p>
        </w:tc>
        <w:tc>
          <w:tcPr>
            <w:tcW w:type="dxa" w:w="2556"/>
            <w:vAlign w:val="center"/>
          </w:tcPr>
          <w:p>
            <w:r>
              <w:rPr>
                <w:sz w:val="15"/>
              </w:rPr>
              <w:t>PLC/VFD/servo</w:t>
            </w:r>
          </w:p>
        </w:tc>
        <w:tc>
          <w:tcPr>
            <w:tcW w:type="dxa" w:w="2556"/>
            <w:vAlign w:val="center"/>
          </w:tcPr>
          <w:p>
            <w:r>
              <w:rPr>
                <w:sz w:val="15"/>
              </w:rPr>
              <w:t>GMP Critical</w:t>
            </w:r>
          </w:p>
        </w:tc>
      </w:tr>
      <w:tr>
        <w:tc>
          <w:tcPr>
            <w:tcW w:type="dxa" w:w="2556"/>
            <w:vAlign w:val="center"/>
          </w:tcPr>
          <w:p>
            <w:r>
              <w:rPr>
                <w:sz w:val="15"/>
              </w:rPr>
              <w:t>Fill depth</w:t>
            </w:r>
          </w:p>
        </w:tc>
        <w:tc>
          <w:tcPr>
            <w:tcW w:type="dxa" w:w="2556"/>
            <w:vAlign w:val="center"/>
          </w:tcPr>
          <w:p>
            <w:r>
              <w:rPr>
                <w:sz w:val="15"/>
              </w:rPr>
              <w:t>Controls die fill and tablet mass</w:t>
            </w:r>
          </w:p>
        </w:tc>
        <w:tc>
          <w:tcPr>
            <w:tcW w:type="dxa" w:w="2556"/>
            <w:vAlign w:val="center"/>
          </w:tcPr>
          <w:p>
            <w:r>
              <w:rPr>
                <w:sz w:val="15"/>
              </w:rPr>
              <w:t>Servo/mechanical adjustment</w:t>
            </w:r>
          </w:p>
        </w:tc>
        <w:tc>
          <w:tcPr>
            <w:tcW w:type="dxa" w:w="2556"/>
            <w:vAlign w:val="center"/>
          </w:tcPr>
          <w:p>
            <w:r>
              <w:rPr>
                <w:sz w:val="15"/>
              </w:rPr>
              <w:t>GMP Critical</w:t>
            </w:r>
          </w:p>
        </w:tc>
      </w:tr>
      <w:tr>
        <w:tc>
          <w:tcPr>
            <w:tcW w:type="dxa" w:w="2556"/>
            <w:vAlign w:val="center"/>
          </w:tcPr>
          <w:p>
            <w:r>
              <w:rPr>
                <w:sz w:val="15"/>
              </w:rPr>
              <w:t>Pre-compression force</w:t>
            </w:r>
          </w:p>
        </w:tc>
        <w:tc>
          <w:tcPr>
            <w:tcW w:type="dxa" w:w="2556"/>
            <w:vAlign w:val="center"/>
          </w:tcPr>
          <w:p>
            <w:r>
              <w:rPr>
                <w:sz w:val="15"/>
              </w:rPr>
              <w:t>Pre-compaction/de-aeration</w:t>
            </w:r>
          </w:p>
        </w:tc>
        <w:tc>
          <w:tcPr>
            <w:tcW w:type="dxa" w:w="2556"/>
            <w:vAlign w:val="center"/>
          </w:tcPr>
          <w:p>
            <w:r>
              <w:rPr>
                <w:sz w:val="15"/>
              </w:rPr>
              <w:t>Force transducer/control</w:t>
            </w:r>
          </w:p>
        </w:tc>
        <w:tc>
          <w:tcPr>
            <w:tcW w:type="dxa" w:w="2556"/>
            <w:vAlign w:val="center"/>
          </w:tcPr>
          <w:p>
            <w:r>
              <w:rPr>
                <w:sz w:val="15"/>
              </w:rPr>
              <w:t>GMP Critical</w:t>
            </w:r>
          </w:p>
        </w:tc>
      </w:tr>
      <w:tr>
        <w:tc>
          <w:tcPr>
            <w:tcW w:type="dxa" w:w="2556"/>
            <w:vAlign w:val="center"/>
          </w:tcPr>
          <w:p>
            <w:r>
              <w:rPr>
                <w:sz w:val="15"/>
              </w:rPr>
              <w:t>Main compression force</w:t>
            </w:r>
          </w:p>
        </w:tc>
        <w:tc>
          <w:tcPr>
            <w:tcW w:type="dxa" w:w="2556"/>
            <w:vAlign w:val="center"/>
          </w:tcPr>
          <w:p>
            <w:r>
              <w:rPr>
                <w:sz w:val="15"/>
              </w:rPr>
              <w:t>Tablet densification/strength</w:t>
            </w:r>
          </w:p>
        </w:tc>
        <w:tc>
          <w:tcPr>
            <w:tcW w:type="dxa" w:w="2556"/>
            <w:vAlign w:val="center"/>
          </w:tcPr>
          <w:p>
            <w:r>
              <w:rPr>
                <w:sz w:val="15"/>
              </w:rPr>
              <w:t>Force transducer/control</w:t>
            </w:r>
          </w:p>
        </w:tc>
        <w:tc>
          <w:tcPr>
            <w:tcW w:type="dxa" w:w="2556"/>
            <w:vAlign w:val="center"/>
          </w:tcPr>
          <w:p>
            <w:r>
              <w:rPr>
                <w:sz w:val="15"/>
              </w:rPr>
              <w:t>GMP Critical</w:t>
            </w:r>
          </w:p>
        </w:tc>
      </w:tr>
      <w:tr>
        <w:tc>
          <w:tcPr>
            <w:tcW w:type="dxa" w:w="2556"/>
            <w:vAlign w:val="center"/>
          </w:tcPr>
          <w:p>
            <w:r>
              <w:rPr>
                <w:sz w:val="15"/>
              </w:rPr>
              <w:t>Ejection force</w:t>
            </w:r>
          </w:p>
        </w:tc>
        <w:tc>
          <w:tcPr>
            <w:tcW w:type="dxa" w:w="2556"/>
            <w:vAlign w:val="center"/>
          </w:tcPr>
          <w:p>
            <w:r>
              <w:rPr>
                <w:sz w:val="15"/>
              </w:rPr>
              <w:t>Indicates ejection behavior/tooling friction</w:t>
            </w:r>
          </w:p>
        </w:tc>
        <w:tc>
          <w:tcPr>
            <w:tcW w:type="dxa" w:w="2556"/>
            <w:vAlign w:val="center"/>
          </w:tcPr>
          <w:p>
            <w:r>
              <w:rPr>
                <w:sz w:val="15"/>
              </w:rPr>
              <w:t>Force monitoring</w:t>
            </w:r>
          </w:p>
        </w:tc>
        <w:tc>
          <w:tcPr>
            <w:tcW w:type="dxa" w:w="2556"/>
            <w:vAlign w:val="center"/>
          </w:tcPr>
          <w:p>
            <w:r>
              <w:rPr>
                <w:sz w:val="15"/>
              </w:rPr>
              <w:t>GMP Relevant/Critical</w:t>
            </w:r>
          </w:p>
        </w:tc>
      </w:tr>
      <w:tr>
        <w:tc>
          <w:tcPr>
            <w:tcW w:type="dxa" w:w="2556"/>
            <w:vAlign w:val="center"/>
          </w:tcPr>
          <w:p>
            <w:r>
              <w:rPr>
                <w:sz w:val="15"/>
              </w:rPr>
              <w:t>Tablet weight</w:t>
            </w:r>
          </w:p>
        </w:tc>
        <w:tc>
          <w:tcPr>
            <w:tcW w:type="dxa" w:w="2556"/>
            <w:vAlign w:val="center"/>
          </w:tcPr>
          <w:p>
            <w:r>
              <w:rPr>
                <w:sz w:val="15"/>
              </w:rPr>
              <w:t>Controls dose-related mass consistency</w:t>
            </w:r>
          </w:p>
        </w:tc>
        <w:tc>
          <w:tcPr>
            <w:tcW w:type="dxa" w:w="2556"/>
            <w:vAlign w:val="center"/>
          </w:tcPr>
          <w:p>
            <w:r>
              <w:rPr>
                <w:sz w:val="15"/>
              </w:rPr>
              <w:t>IPC/automatic control where applicable</w:t>
            </w:r>
          </w:p>
        </w:tc>
        <w:tc>
          <w:tcPr>
            <w:tcW w:type="dxa" w:w="2556"/>
            <w:vAlign w:val="center"/>
          </w:tcPr>
          <w:p>
            <w:r>
              <w:rPr>
                <w:sz w:val="15"/>
              </w:rPr>
              <w:t>GMP Critical</w:t>
            </w:r>
          </w:p>
        </w:tc>
      </w:tr>
      <w:tr>
        <w:tc>
          <w:tcPr>
            <w:tcW w:type="dxa" w:w="2556"/>
            <w:vAlign w:val="center"/>
          </w:tcPr>
          <w:p>
            <w:r>
              <w:rPr>
                <w:sz w:val="15"/>
              </w:rPr>
              <w:t>Tablet thickness</w:t>
            </w:r>
          </w:p>
        </w:tc>
        <w:tc>
          <w:tcPr>
            <w:tcW w:type="dxa" w:w="2556"/>
            <w:vAlign w:val="center"/>
          </w:tcPr>
          <w:p>
            <w:r>
              <w:rPr>
                <w:sz w:val="15"/>
              </w:rPr>
              <w:t>Controls dimensional consistency</w:t>
            </w:r>
          </w:p>
        </w:tc>
        <w:tc>
          <w:tcPr>
            <w:tcW w:type="dxa" w:w="2556"/>
            <w:vAlign w:val="center"/>
          </w:tcPr>
          <w:p>
            <w:r>
              <w:rPr>
                <w:sz w:val="15"/>
              </w:rPr>
              <w:t>IPC/automatic measurement where applicable</w:t>
            </w:r>
          </w:p>
        </w:tc>
        <w:tc>
          <w:tcPr>
            <w:tcW w:type="dxa" w:w="2556"/>
            <w:vAlign w:val="center"/>
          </w:tcPr>
          <w:p>
            <w:r>
              <w:rPr>
                <w:sz w:val="15"/>
              </w:rPr>
              <w:t>GMP Relevant</w:t>
            </w:r>
          </w:p>
        </w:tc>
      </w:tr>
      <w:tr>
        <w:tc>
          <w:tcPr>
            <w:tcW w:type="dxa" w:w="2556"/>
            <w:vAlign w:val="center"/>
          </w:tcPr>
          <w:p>
            <w:r>
              <w:rPr>
                <w:sz w:val="15"/>
              </w:rPr>
              <w:t>Hardness</w:t>
            </w:r>
          </w:p>
        </w:tc>
        <w:tc>
          <w:tcPr>
            <w:tcW w:type="dxa" w:w="2556"/>
            <w:vAlign w:val="center"/>
          </w:tcPr>
          <w:p>
            <w:r>
              <w:rPr>
                <w:sz w:val="15"/>
              </w:rPr>
              <w:t>Tablet mechanical property</w:t>
            </w:r>
          </w:p>
        </w:tc>
        <w:tc>
          <w:tcPr>
            <w:tcW w:type="dxa" w:w="2556"/>
            <w:vAlign w:val="center"/>
          </w:tcPr>
          <w:p>
            <w:r>
              <w:rPr>
                <w:sz w:val="15"/>
              </w:rPr>
              <w:t>IPC or integrated system if applicable</w:t>
            </w:r>
          </w:p>
        </w:tc>
        <w:tc>
          <w:tcPr>
            <w:tcW w:type="dxa" w:w="2556"/>
            <w:vAlign w:val="center"/>
          </w:tcPr>
          <w:p>
            <w:r>
              <w:rPr>
                <w:sz w:val="15"/>
              </w:rPr>
              <w:t>Product dependent</w:t>
            </w:r>
          </w:p>
        </w:tc>
      </w:tr>
      <w:tr>
        <w:tc>
          <w:tcPr>
            <w:tcW w:type="dxa" w:w="2556"/>
            <w:vAlign w:val="center"/>
          </w:tcPr>
          <w:p>
            <w:r>
              <w:rPr>
                <w:sz w:val="15"/>
              </w:rPr>
              <w:t>Compression profile</w:t>
            </w:r>
          </w:p>
        </w:tc>
        <w:tc>
          <w:tcPr>
            <w:tcW w:type="dxa" w:w="2556"/>
            <w:vAlign w:val="center"/>
          </w:tcPr>
          <w:p>
            <w:r>
              <w:rPr>
                <w:sz w:val="15"/>
              </w:rPr>
              <w:t>Identifies station/process behavior</w:t>
            </w:r>
          </w:p>
        </w:tc>
        <w:tc>
          <w:tcPr>
            <w:tcW w:type="dxa" w:w="2556"/>
            <w:vAlign w:val="center"/>
          </w:tcPr>
          <w:p>
            <w:r>
              <w:rPr>
                <w:sz w:val="15"/>
              </w:rPr>
              <w:t>Trend/data acquisition</w:t>
            </w:r>
          </w:p>
        </w:tc>
        <w:tc>
          <w:tcPr>
            <w:tcW w:type="dxa" w:w="2556"/>
            <w:vAlign w:val="center"/>
          </w:tcPr>
          <w:p>
            <w:r>
              <w:rPr>
                <w:sz w:val="15"/>
              </w:rPr>
              <w:t>GMP Relevant</w:t>
            </w:r>
          </w:p>
        </w:tc>
      </w:tr>
      <w:tr>
        <w:tc>
          <w:tcPr>
            <w:tcW w:type="dxa" w:w="2556"/>
            <w:vAlign w:val="center"/>
          </w:tcPr>
          <w:p>
            <w:r>
              <w:rPr>
                <w:sz w:val="15"/>
              </w:rPr>
              <w:t>Dwell time</w:t>
            </w:r>
          </w:p>
        </w:tc>
        <w:tc>
          <w:tcPr>
            <w:tcW w:type="dxa" w:w="2556"/>
            <w:vAlign w:val="center"/>
          </w:tcPr>
          <w:p>
            <w:r>
              <w:rPr>
                <w:sz w:val="15"/>
              </w:rPr>
              <w:t>Affects compaction behavior</w:t>
            </w:r>
          </w:p>
        </w:tc>
        <w:tc>
          <w:tcPr>
            <w:tcW w:type="dxa" w:w="2556"/>
            <w:vAlign w:val="center"/>
          </w:tcPr>
          <w:p>
            <w:r>
              <w:rPr>
                <w:sz w:val="15"/>
              </w:rPr>
              <w:t>Derived from turret/tooling geometry</w:t>
            </w:r>
          </w:p>
        </w:tc>
        <w:tc>
          <w:tcPr>
            <w:tcW w:type="dxa" w:w="2556"/>
            <w:vAlign w:val="center"/>
          </w:tcPr>
          <w:p>
            <w:r>
              <w:rPr>
                <w:sz w:val="15"/>
              </w:rPr>
              <w:t>Product dependent</w:t>
            </w:r>
          </w:p>
        </w:tc>
      </w:tr>
      <w:tr>
        <w:tc>
          <w:tcPr>
            <w:tcW w:type="dxa" w:w="2556"/>
            <w:vAlign w:val="center"/>
          </w:tcPr>
          <w:p>
            <w:r>
              <w:rPr>
                <w:sz w:val="15"/>
              </w:rPr>
              <w:t>Feeder level</w:t>
            </w:r>
          </w:p>
        </w:tc>
        <w:tc>
          <w:tcPr>
            <w:tcW w:type="dxa" w:w="2556"/>
            <w:vAlign w:val="center"/>
          </w:tcPr>
          <w:p>
            <w:r>
              <w:rPr>
                <w:sz w:val="15"/>
              </w:rPr>
              <w:t>Maintains feed consistency</w:t>
            </w:r>
          </w:p>
        </w:tc>
        <w:tc>
          <w:tcPr>
            <w:tcW w:type="dxa" w:w="2556"/>
            <w:vAlign w:val="center"/>
          </w:tcPr>
          <w:p>
            <w:r>
              <w:rPr>
                <w:sz w:val="15"/>
              </w:rPr>
              <w:t>Sensor/visual monitoring</w:t>
            </w:r>
          </w:p>
        </w:tc>
        <w:tc>
          <w:tcPr>
            <w:tcW w:type="dxa" w:w="2556"/>
            <w:vAlign w:val="center"/>
          </w:tcPr>
          <w:p>
            <w:r>
              <w:rPr>
                <w:sz w:val="15"/>
              </w:rPr>
              <w:t>GMP Relevant</w:t>
            </w:r>
          </w:p>
        </w:tc>
      </w:tr>
      <w:tr>
        <w:tc>
          <w:tcPr>
            <w:tcW w:type="dxa" w:w="2556"/>
            <w:vAlign w:val="center"/>
          </w:tcPr>
          <w:p>
            <w:r>
              <w:rPr>
                <w:sz w:val="15"/>
              </w:rPr>
              <w:t>Lubrication</w:t>
            </w:r>
          </w:p>
        </w:tc>
        <w:tc>
          <w:tcPr>
            <w:tcW w:type="dxa" w:w="2556"/>
            <w:vAlign w:val="center"/>
          </w:tcPr>
          <w:p>
            <w:r>
              <w:rPr>
                <w:sz w:val="15"/>
              </w:rPr>
              <w:t>Protects tooling and supports ejection</w:t>
            </w:r>
          </w:p>
        </w:tc>
        <w:tc>
          <w:tcPr>
            <w:tcW w:type="dxa" w:w="2556"/>
            <w:vAlign w:val="center"/>
          </w:tcPr>
          <w:p>
            <w:r>
              <w:rPr>
                <w:sz w:val="15"/>
              </w:rPr>
              <w:t>Controlled system/monitoring</w:t>
            </w:r>
          </w:p>
        </w:tc>
        <w:tc>
          <w:tcPr>
            <w:tcW w:type="dxa" w:w="2556"/>
            <w:vAlign w:val="center"/>
          </w:tcPr>
          <w:p>
            <w:r>
              <w:rPr>
                <w:sz w:val="15"/>
              </w:rPr>
              <w:t>GMP Relevant</w:t>
            </w:r>
          </w:p>
        </w:tc>
      </w:tr>
      <w:tr>
        <w:tc>
          <w:tcPr>
            <w:tcW w:type="dxa" w:w="2556"/>
            <w:vAlign w:val="center"/>
          </w:tcPr>
          <w:p>
            <w:r>
              <w:rPr>
                <w:sz w:val="15"/>
              </w:rPr>
              <w:t>Dust extraction</w:t>
            </w:r>
          </w:p>
        </w:tc>
        <w:tc>
          <w:tcPr>
            <w:tcW w:type="dxa" w:w="2556"/>
            <w:vAlign w:val="center"/>
          </w:tcPr>
          <w:p>
            <w:r>
              <w:rPr>
                <w:sz w:val="15"/>
              </w:rPr>
              <w:t>Controls dust/containment</w:t>
            </w:r>
          </w:p>
        </w:tc>
        <w:tc>
          <w:tcPr>
            <w:tcW w:type="dxa" w:w="2556"/>
            <w:vAlign w:val="center"/>
          </w:tcPr>
          <w:p>
            <w:r>
              <w:rPr>
                <w:sz w:val="15"/>
              </w:rPr>
              <w:t>Airflow/pressure monitoring</w:t>
            </w:r>
          </w:p>
        </w:tc>
        <w:tc>
          <w:tcPr>
            <w:tcW w:type="dxa" w:w="2556"/>
            <w:vAlign w:val="center"/>
          </w:tcPr>
          <w:p>
            <w:r>
              <w:rPr>
                <w:sz w:val="15"/>
              </w:rPr>
              <w:t>GMP Relevant</w:t>
            </w:r>
          </w:p>
        </w:tc>
      </w:tr>
      <w:tr>
        <w:tc>
          <w:tcPr>
            <w:tcW w:type="dxa" w:w="2556"/>
            <w:vAlign w:val="center"/>
          </w:tcPr>
          <w:p>
            <w:r>
              <w:rPr>
                <w:sz w:val="15"/>
              </w:rPr>
              <w:t>Reject parameters</w:t>
            </w:r>
          </w:p>
        </w:tc>
        <w:tc>
          <w:tcPr>
            <w:tcW w:type="dxa" w:w="2556"/>
            <w:vAlign w:val="center"/>
          </w:tcPr>
          <w:p>
            <w:r>
              <w:rPr>
                <w:sz w:val="15"/>
              </w:rPr>
              <w:t>Prevents release of unacceptable tablets</w:t>
            </w:r>
          </w:p>
        </w:tc>
        <w:tc>
          <w:tcPr>
            <w:tcW w:type="dxa" w:w="2556"/>
            <w:vAlign w:val="center"/>
          </w:tcPr>
          <w:p>
            <w:r>
              <w:rPr>
                <w:sz w:val="15"/>
              </w:rPr>
              <w:t>Validated reject logic</w:t>
            </w:r>
          </w:p>
        </w:tc>
        <w:tc>
          <w:tcPr>
            <w:tcW w:type="dxa" w:w="2556"/>
            <w:vAlign w:val="center"/>
          </w:tcPr>
          <w:p>
            <w:r>
              <w:rPr>
                <w:sz w:val="15"/>
              </w:rPr>
              <w:t>GMP Critical</w:t>
            </w:r>
          </w:p>
        </w:tc>
      </w:tr>
    </w:tbl>
    <w:p/>
    <w:p>
      <w:r>
        <w:t>Numerical operating ranges and acceptance criteria shall be established through approved product/process development, engineering design, risk assessment and qualification protocols.</w:t>
      </w:r>
    </w:p>
    <w:p>
      <w:pPr>
        <w:pStyle w:val="Heading1"/>
      </w:pPr>
      <w:r>
        <w:t>6. Capacity and Performance Requirements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Parameter</w:t>
            </w:r>
          </w:p>
        </w:tc>
        <w:tc>
          <w:tcPr>
            <w:tcW w:type="dxa" w:w="5112"/>
            <w:shd w:fill="D9EAF7"/>
          </w:tcPr>
          <w:p>
            <w:r>
              <w:rPr>
                <w:b/>
                <w:sz w:val="15"/>
              </w:rPr>
              <w:t>Requirement</w:t>
            </w:r>
          </w:p>
        </w:tc>
      </w:tr>
      <w:tr>
        <w:tc>
          <w:tcPr>
            <w:tcW w:type="dxa" w:w="5112"/>
            <w:vAlign w:val="center"/>
          </w:tcPr>
          <w:p>
            <w:r>
              <w:rPr>
                <w:sz w:val="15"/>
              </w:rPr>
              <w:t>Minimum batch size</w:t>
            </w:r>
          </w:p>
        </w:tc>
        <w:tc>
          <w:tcPr>
            <w:tcW w:type="dxa" w:w="5112"/>
            <w:vAlign w:val="center"/>
          </w:tcPr>
          <w:p>
            <w:r>
              <w:rPr>
                <w:sz w:val="15"/>
              </w:rPr>
              <w:t>To be defined based on approved process requirement, risk assessment, and engineering design.</w:t>
            </w:r>
          </w:p>
        </w:tc>
      </w:tr>
      <w:tr>
        <w:tc>
          <w:tcPr>
            <w:tcW w:type="dxa" w:w="5112"/>
            <w:vAlign w:val="center"/>
          </w:tcPr>
          <w:p>
            <w:r>
              <w:rPr>
                <w:sz w:val="15"/>
              </w:rPr>
              <w:t>Nominal batch size</w:t>
            </w:r>
          </w:p>
        </w:tc>
        <w:tc>
          <w:tcPr>
            <w:tcW w:type="dxa" w:w="5112"/>
            <w:vAlign w:val="center"/>
          </w:tcPr>
          <w:p>
            <w:r>
              <w:rPr>
                <w:sz w:val="15"/>
              </w:rPr>
              <w:t>To be defined based on manufacturing plan.</w:t>
            </w:r>
          </w:p>
        </w:tc>
      </w:tr>
      <w:tr>
        <w:tc>
          <w:tcPr>
            <w:tcW w:type="dxa" w:w="5112"/>
            <w:vAlign w:val="center"/>
          </w:tcPr>
          <w:p>
            <w:r>
              <w:rPr>
                <w:sz w:val="15"/>
              </w:rPr>
              <w:t>Maximum batch size</w:t>
            </w:r>
          </w:p>
        </w:tc>
        <w:tc>
          <w:tcPr>
            <w:tcW w:type="dxa" w:w="5112"/>
            <w:vAlign w:val="center"/>
          </w:tcPr>
          <w:p>
            <w:r>
              <w:rPr>
                <w:sz w:val="15"/>
              </w:rPr>
              <w:t>To be defined based on approved process requirement and equipment capability.</w:t>
            </w:r>
          </w:p>
        </w:tc>
      </w:tr>
      <w:tr>
        <w:tc>
          <w:tcPr>
            <w:tcW w:type="dxa" w:w="5112"/>
            <w:vAlign w:val="center"/>
          </w:tcPr>
          <w:p>
            <w:r>
              <w:rPr>
                <w:sz w:val="15"/>
              </w:rPr>
              <w:t>Output range</w:t>
            </w:r>
          </w:p>
        </w:tc>
        <w:tc>
          <w:tcPr>
            <w:tcW w:type="dxa" w:w="5112"/>
            <w:vAlign w:val="center"/>
          </w:tcPr>
          <w:p>
            <w:r>
              <w:rPr>
                <w:sz w:val="15"/>
              </w:rPr>
              <w:t>Vendor shall state rated and validated operating envelope.</w:t>
            </w:r>
          </w:p>
        </w:tc>
      </w:tr>
      <w:tr>
        <w:tc>
          <w:tcPr>
            <w:tcW w:type="dxa" w:w="5112"/>
            <w:vAlign w:val="center"/>
          </w:tcPr>
          <w:p>
            <w:r>
              <w:rPr>
                <w:sz w:val="15"/>
              </w:rPr>
              <w:t>Maximum turret speed</w:t>
            </w:r>
          </w:p>
        </w:tc>
        <w:tc>
          <w:tcPr>
            <w:tcW w:type="dxa" w:w="5112"/>
            <w:vAlign w:val="center"/>
          </w:tcPr>
          <w:p>
            <w:r>
              <w:rPr>
                <w:sz w:val="15"/>
              </w:rPr>
              <w:t>Vendor shall state rated capability; validated operating range to be established.</w:t>
            </w:r>
          </w:p>
        </w:tc>
      </w:tr>
      <w:tr>
        <w:tc>
          <w:tcPr>
            <w:tcW w:type="dxa" w:w="5112"/>
            <w:vAlign w:val="center"/>
          </w:tcPr>
          <w:p>
            <w:r>
              <w:rPr>
                <w:sz w:val="15"/>
              </w:rPr>
              <w:t>Number of stations</w:t>
            </w:r>
          </w:p>
        </w:tc>
        <w:tc>
          <w:tcPr>
            <w:tcW w:type="dxa" w:w="5112"/>
            <w:vAlign w:val="center"/>
          </w:tcPr>
          <w:p>
            <w:r>
              <w:rPr>
                <w:sz w:val="15"/>
              </w:rPr>
              <w:t>To be defined based on tooling/process requirement.</w:t>
            </w:r>
          </w:p>
        </w:tc>
      </w:tr>
      <w:tr>
        <w:tc>
          <w:tcPr>
            <w:tcW w:type="dxa" w:w="5112"/>
            <w:vAlign w:val="center"/>
          </w:tcPr>
          <w:p>
            <w:r>
              <w:rPr>
                <w:sz w:val="15"/>
              </w:rPr>
              <w:t>Tooling configuration</w:t>
            </w:r>
          </w:p>
        </w:tc>
        <w:tc>
          <w:tcPr>
            <w:tcW w:type="dxa" w:w="5112"/>
            <w:vAlign w:val="center"/>
          </w:tcPr>
          <w:p>
            <w:r>
              <w:rPr>
                <w:sz w:val="15"/>
              </w:rPr>
              <w:t>To be defined based on tablet/product family.</w:t>
            </w:r>
          </w:p>
        </w:tc>
      </w:tr>
      <w:tr>
        <w:tc>
          <w:tcPr>
            <w:tcW w:type="dxa" w:w="5112"/>
            <w:vAlign w:val="center"/>
          </w:tcPr>
          <w:p>
            <w:r>
              <w:rPr>
                <w:sz w:val="15"/>
              </w:rPr>
              <w:t>Tablet diameter range</w:t>
            </w:r>
          </w:p>
        </w:tc>
        <w:tc>
          <w:tcPr>
            <w:tcW w:type="dxa" w:w="5112"/>
            <w:vAlign w:val="center"/>
          </w:tcPr>
          <w:p>
            <w:r>
              <w:rPr>
                <w:sz w:val="15"/>
              </w:rPr>
              <w:t>To be defined based on product/tooling portfolio.</w:t>
            </w:r>
          </w:p>
        </w:tc>
      </w:tr>
      <w:tr>
        <w:tc>
          <w:tcPr>
            <w:tcW w:type="dxa" w:w="5112"/>
            <w:vAlign w:val="center"/>
          </w:tcPr>
          <w:p>
            <w:r>
              <w:rPr>
                <w:sz w:val="15"/>
              </w:rPr>
              <w:t>Maximum fill depth</w:t>
            </w:r>
          </w:p>
        </w:tc>
        <w:tc>
          <w:tcPr>
            <w:tcW w:type="dxa" w:w="5112"/>
            <w:vAlign w:val="center"/>
          </w:tcPr>
          <w:p>
            <w:r>
              <w:rPr>
                <w:sz w:val="15"/>
              </w:rPr>
              <w:t>Vendor to state; final range based on product/tooling assessment.</w:t>
            </w:r>
          </w:p>
        </w:tc>
      </w:tr>
      <w:tr>
        <w:tc>
          <w:tcPr>
            <w:tcW w:type="dxa" w:w="5112"/>
            <w:vAlign w:val="center"/>
          </w:tcPr>
          <w:p>
            <w:r>
              <w:rPr>
                <w:sz w:val="15"/>
              </w:rPr>
              <w:t>Pre-compression capability</w:t>
            </w:r>
          </w:p>
        </w:tc>
        <w:tc>
          <w:tcPr>
            <w:tcW w:type="dxa" w:w="5112"/>
            <w:vAlign w:val="center"/>
          </w:tcPr>
          <w:p>
            <w:r>
              <w:rPr>
                <w:sz w:val="15"/>
              </w:rPr>
              <w:t>Vendor to state rated/validated capability.</w:t>
            </w:r>
          </w:p>
        </w:tc>
      </w:tr>
      <w:tr>
        <w:tc>
          <w:tcPr>
            <w:tcW w:type="dxa" w:w="5112"/>
            <w:vAlign w:val="center"/>
          </w:tcPr>
          <w:p>
            <w:r>
              <w:rPr>
                <w:sz w:val="15"/>
              </w:rPr>
              <w:t>Main compression capability</w:t>
            </w:r>
          </w:p>
        </w:tc>
        <w:tc>
          <w:tcPr>
            <w:tcW w:type="dxa" w:w="5112"/>
            <w:vAlign w:val="center"/>
          </w:tcPr>
          <w:p>
            <w:r>
              <w:rPr>
                <w:sz w:val="15"/>
              </w:rPr>
              <w:t>Vendor to state rated/validated capability.</w:t>
            </w:r>
          </w:p>
        </w:tc>
      </w:tr>
      <w:tr>
        <w:tc>
          <w:tcPr>
            <w:tcW w:type="dxa" w:w="5112"/>
            <w:vAlign w:val="center"/>
          </w:tcPr>
          <w:p>
            <w:r>
              <w:rPr>
                <w:sz w:val="15"/>
              </w:rPr>
              <w:t>Feeder capacity</w:t>
            </w:r>
          </w:p>
        </w:tc>
        <w:tc>
          <w:tcPr>
            <w:tcW w:type="dxa" w:w="5112"/>
            <w:vAlign w:val="center"/>
          </w:tcPr>
          <w:p>
            <w:r>
              <w:rPr>
                <w:sz w:val="15"/>
              </w:rPr>
              <w:t>Vendor to state rated/validated capability.</w:t>
            </w:r>
          </w:p>
        </w:tc>
      </w:tr>
      <w:tr>
        <w:tc>
          <w:tcPr>
            <w:tcW w:type="dxa" w:w="5112"/>
            <w:vAlign w:val="center"/>
          </w:tcPr>
          <w:p>
            <w:r>
              <w:rPr>
                <w:sz w:val="15"/>
              </w:rPr>
              <w:t>Throughput</w:t>
            </w:r>
          </w:p>
        </w:tc>
        <w:tc>
          <w:tcPr>
            <w:tcW w:type="dxa" w:w="5112"/>
            <w:vAlign w:val="center"/>
          </w:tcPr>
          <w:p>
            <w:r>
              <w:rPr>
                <w:sz w:val="15"/>
              </w:rPr>
              <w:t>To be established from product, tooling and validated operating range.</w:t>
            </w:r>
          </w:p>
        </w:tc>
      </w:tr>
      <w:tr>
        <w:tc>
          <w:tcPr>
            <w:tcW w:type="dxa" w:w="5112"/>
            <w:vAlign w:val="center"/>
          </w:tcPr>
          <w:p>
            <w:r>
              <w:rPr>
                <w:sz w:val="15"/>
              </w:rPr>
              <w:t>Yield</w:t>
            </w:r>
          </w:p>
        </w:tc>
        <w:tc>
          <w:tcPr>
            <w:tcW w:type="dxa" w:w="5112"/>
            <w:vAlign w:val="center"/>
          </w:tcPr>
          <w:p>
            <w:r>
              <w:rPr>
                <w:sz w:val="15"/>
              </w:rPr>
              <w:t>Acceptance target to be defined by process/product requirements.</w:t>
            </w:r>
          </w:p>
        </w:tc>
      </w:tr>
      <w:tr>
        <w:tc>
          <w:tcPr>
            <w:tcW w:type="dxa" w:w="5112"/>
            <w:vAlign w:val="center"/>
          </w:tcPr>
          <w:p>
            <w:r>
              <w:rPr>
                <w:sz w:val="15"/>
              </w:rPr>
              <w:t>OEE</w:t>
            </w:r>
          </w:p>
        </w:tc>
        <w:tc>
          <w:tcPr>
            <w:tcW w:type="dxa" w:w="5112"/>
            <w:vAlign w:val="center"/>
          </w:tcPr>
          <w:p>
            <w:r>
              <w:rPr>
                <w:sz w:val="15"/>
              </w:rPr>
              <w:t>Target to be defined by site operational-excellence strategy.</w:t>
            </w:r>
          </w:p>
        </w:tc>
      </w:tr>
      <w:tr>
        <w:tc>
          <w:tcPr>
            <w:tcW w:type="dxa" w:w="5112"/>
            <w:vAlign w:val="center"/>
          </w:tcPr>
          <w:p>
            <w:r>
              <w:rPr>
                <w:sz w:val="15"/>
              </w:rPr>
              <w:t>Changeover</w:t>
            </w:r>
          </w:p>
        </w:tc>
        <w:tc>
          <w:tcPr>
            <w:tcW w:type="dxa" w:w="5112"/>
            <w:vAlign w:val="center"/>
          </w:tcPr>
          <w:p>
            <w:r>
              <w:rPr>
                <w:sz w:val="15"/>
              </w:rPr>
              <w:t>Target to be defined based on product portfolio and cleaning strategy.</w:t>
            </w:r>
          </w:p>
        </w:tc>
      </w:tr>
      <w:tr>
        <w:tc>
          <w:tcPr>
            <w:tcW w:type="dxa" w:w="5112"/>
            <w:vAlign w:val="center"/>
          </w:tcPr>
          <w:p>
            <w:r>
              <w:rPr>
                <w:sz w:val="15"/>
              </w:rPr>
              <w:t>Cleaning/changeover time</w:t>
            </w:r>
          </w:p>
        </w:tc>
        <w:tc>
          <w:tcPr>
            <w:tcW w:type="dxa" w:w="5112"/>
            <w:vAlign w:val="center"/>
          </w:tcPr>
          <w:p>
            <w:r>
              <w:rPr>
                <w:sz w:val="15"/>
              </w:rPr>
              <w:t>To be defined based on approved procedure and validation strategy.</w:t>
            </w:r>
          </w:p>
        </w:tc>
      </w:tr>
    </w:tbl>
    <w:p/>
    <w:p>
      <w:r>
        <w:t>Vendor shall clearly distinguish rated capacity, recommended operating range and validated operating envelope.</w:t>
      </w:r>
    </w:p>
    <w:p>
      <w:pPr>
        <w:pStyle w:val="Heading1"/>
      </w:pPr>
      <w:r>
        <w:t>7. Mechanical Design Requirements</w:t>
      </w:r>
    </w:p>
    <w:p>
      <w:pPr>
        <w:pStyle w:val="ListBullet"/>
      </w:pPr>
      <w:r>
        <w:t>Turret and drive system shall be robust for the intended duty cycle.</w:t>
      </w:r>
    </w:p>
    <w:p>
      <w:pPr>
        <w:pStyle w:val="ListBullet"/>
      </w:pPr>
      <w:r>
        <w:t>Punch guides, cams, compression rollers and bearings shall be designed for reliable operation and maintainability.</w:t>
      </w:r>
    </w:p>
    <w:p>
      <w:pPr>
        <w:pStyle w:val="ListBullet"/>
      </w:pPr>
      <w:r>
        <w:t>Product-contact surfaces shall be accessible for inspection and cleaning.</w:t>
      </w:r>
    </w:p>
    <w:p>
      <w:pPr>
        <w:pStyle w:val="ListBullet"/>
      </w:pPr>
      <w:r>
        <w:t>Design shall minimize powder/granule retention and inaccessible areas.</w:t>
      </w:r>
    </w:p>
    <w:p>
      <w:pPr>
        <w:pStyle w:val="ListBullet"/>
      </w:pPr>
      <w:r>
        <w:t>Access doors and guards shall provide safe maintenance and cleaning access.</w:t>
      </w:r>
    </w:p>
    <w:p>
      <w:pPr>
        <w:pStyle w:val="ListBullet"/>
      </w:pPr>
      <w:r>
        <w:t>Seals/gaskets shall be compatible with the process and cleaning agents.</w:t>
      </w:r>
    </w:p>
    <w:p>
      <w:pPr>
        <w:pStyle w:val="ListBullet"/>
      </w:pPr>
      <w:r>
        <w:t>Equipment shall be stable and designed to minimize unacceptable vibration and noise.</w:t>
      </w:r>
    </w:p>
    <w:p>
      <w:pPr>
        <w:pStyle w:val="ListBullet"/>
      </w:pPr>
      <w:r>
        <w:t>Critical mechanical components shall be identifiable and traceable.</w:t>
      </w:r>
    </w:p>
    <w:p>
      <w:pPr>
        <w:pStyle w:val="ListBullet"/>
      </w:pPr>
      <w:r>
        <w:t>Lubricants shall be suitable for the intended equipment application and controlled to prevent product contamination.</w:t>
      </w:r>
    </w:p>
    <w:p>
      <w:pPr>
        <w:pStyle w:val="ListBullet"/>
      </w:pPr>
      <w:r>
        <w:t>Maintenance access shall not require unnecessary dismantling of unrelated components.</w:t>
      </w:r>
    </w:p>
    <w:p>
      <w:pPr>
        <w:pStyle w:val="Heading1"/>
      </w:pPr>
      <w:r>
        <w:t>8. Materials of Construction and Surface Finish</w:t>
      </w:r>
    </w:p>
    <w:p>
      <w:pPr>
        <w:pStyle w:val="ListBullet"/>
      </w:pPr>
      <w:r>
        <w:t>Product-contact parts shall use approved materials suitable for pharmaceutical manufacture.</w:t>
      </w:r>
    </w:p>
    <w:p>
      <w:pPr>
        <w:pStyle w:val="ListBullet"/>
      </w:pPr>
      <w:r>
        <w:t>SS 316L or approved equivalent shall be used where justified by product/process requirements.</w:t>
      </w:r>
    </w:p>
    <w:p>
      <w:pPr>
        <w:pStyle w:val="ListBullet"/>
      </w:pPr>
      <w:r>
        <w:t>Non-product-contact materials shall be suitable for the operating environment.</w:t>
      </w:r>
    </w:p>
    <w:p>
      <w:pPr>
        <w:pStyle w:val="ListBullet"/>
      </w:pPr>
      <w:r>
        <w:t>Product-contact surfaces shall have an appropriate finish that supports cleanability and minimizes product retention.</w:t>
      </w:r>
    </w:p>
    <w:p>
      <w:pPr>
        <w:pStyle w:val="ListBullet"/>
      </w:pPr>
      <w:r>
        <w:t>Materials shall be corrosion resistant and compatible with approved cleaning agents.</w:t>
      </w:r>
    </w:p>
    <w:p>
      <w:pPr>
        <w:pStyle w:val="ListBullet"/>
      </w:pPr>
      <w:r>
        <w:t>Product-contact welds shall be suitably finished and documented.</w:t>
      </w:r>
    </w:p>
    <w:p>
      <w:pPr>
        <w:pStyle w:val="ListBullet"/>
      </w:pPr>
      <w:r>
        <w:t>Passivation/electropolishing shall be provided where specified by the approved engineering/material strategy.</w:t>
      </w:r>
    </w:p>
    <w:p>
      <w:pPr>
        <w:pStyle w:val="ListBullet"/>
      </w:pPr>
      <w:r>
        <w:t>Material certificates shall be supplied for designated critical product-contact components.</w:t>
      </w:r>
    </w:p>
    <w:p>
      <w:pPr>
        <w:pStyle w:val="Heading1"/>
      </w:pPr>
      <w:r>
        <w:t>9. Compression Tooling Requirements</w:t>
      </w:r>
    </w:p>
    <w:p>
      <w:pPr>
        <w:pStyle w:val="ListBullet"/>
      </w:pPr>
      <w:r>
        <w:t>Punches and dies shall be compatible with the approved tablet/product portfolio.</w:t>
      </w:r>
    </w:p>
    <w:p>
      <w:pPr>
        <w:pStyle w:val="ListBullet"/>
      </w:pPr>
      <w:r>
        <w:t>Tooling dimensions and standards shall be defined by project-specific requirements; EU/TSM-style configurations shall not be assumed unless specified.</w:t>
      </w:r>
    </w:p>
    <w:p>
      <w:pPr>
        <w:pStyle w:val="ListBullet"/>
      </w:pPr>
      <w:r>
        <w:t>Tooling material and surface treatment shall be suitable for the product and expected duty cycle.</w:t>
      </w:r>
    </w:p>
    <w:p>
      <w:pPr>
        <w:pStyle w:val="ListBullet"/>
      </w:pPr>
      <w:r>
        <w:t>Each tooling set shall have unique identification/traceability where required.</w:t>
      </w:r>
    </w:p>
    <w:p>
      <w:pPr>
        <w:pStyle w:val="ListBullet"/>
      </w:pPr>
      <w:r>
        <w:t>Tooling inspection criteria shall be defined.</w:t>
      </w:r>
    </w:p>
    <w:p>
      <w:pPr>
        <w:pStyle w:val="ListBullet"/>
      </w:pPr>
      <w:r>
        <w:t>Tooling storage shall prevent damage, mix-up and contamination.</w:t>
      </w:r>
    </w:p>
    <w:p>
      <w:pPr>
        <w:pStyle w:val="ListBullet"/>
      </w:pPr>
      <w:r>
        <w:t>Tooling wear monitoring shall be supported where required.</w:t>
      </w:r>
    </w:p>
    <w:p>
      <w:pPr>
        <w:pStyle w:val="ListBullet"/>
      </w:pPr>
      <w:r>
        <w:t>Punch penetration and compression adjustments shall be controllable and reproducible.</w:t>
      </w:r>
    </w:p>
    <w:p>
      <w:pPr>
        <w:pStyle w:val="ListBullet"/>
      </w:pPr>
      <w:r>
        <w:t>Pre-compression and main-compression settings shall be accessible only to authorized users.</w:t>
      </w:r>
    </w:p>
    <w:p>
      <w:pPr>
        <w:pStyle w:val="ListBullet"/>
      </w:pPr>
      <w:r>
        <w:t>Tooling changeover shall be safe, repeatable and documented.</w:t>
      </w:r>
    </w:p>
    <w:p>
      <w:pPr>
        <w:pStyle w:val="ListBullet"/>
      </w:pPr>
      <w:r>
        <w:t>Tooling compatibility shall be demonstrated for the intended product families.</w:t>
      </w:r>
    </w:p>
    <w:p>
      <w:pPr>
        <w:pStyle w:val="Heading1"/>
      </w:pPr>
      <w:r>
        <w:t>10. Hopper and Feeding System</w:t>
      </w:r>
    </w:p>
    <w:p>
      <w:pPr>
        <w:pStyle w:val="ListBullet"/>
      </w:pPr>
      <w:r>
        <w:t>Hopper shall provide consistent and controlled feed to the die-filling system.</w:t>
      </w:r>
    </w:p>
    <w:p>
      <w:pPr>
        <w:pStyle w:val="ListBullet"/>
      </w:pPr>
      <w:r>
        <w:t>Force feeder/feed-frame shall support reproducible powder/granule distribution.</w:t>
      </w:r>
    </w:p>
    <w:p>
      <w:pPr>
        <w:pStyle w:val="ListBullet"/>
      </w:pPr>
      <w:r>
        <w:t>Feeder speed shall be controllable and monitored where required.</w:t>
      </w:r>
    </w:p>
    <w:p>
      <w:pPr>
        <w:pStyle w:val="ListBullet"/>
      </w:pPr>
      <w:r>
        <w:t>Feeder components shall be accessible for cleaning and inspection.</w:t>
      </w:r>
    </w:p>
    <w:p>
      <w:pPr>
        <w:pStyle w:val="ListBullet"/>
      </w:pPr>
      <w:r>
        <w:t>Design shall minimize bridging, rat-holing and segregation where reasonably practicable.</w:t>
      </w:r>
    </w:p>
    <w:p>
      <w:pPr>
        <w:pStyle w:val="ListBullet"/>
      </w:pPr>
      <w:r>
        <w:t>Feeder-level monitoring shall be provided where required by the process.</w:t>
      </w:r>
    </w:p>
    <w:p>
      <w:pPr>
        <w:pStyle w:val="ListBullet"/>
      </w:pPr>
      <w:r>
        <w:t>Feeder failure shall generate an appropriate alarm and safe response.</w:t>
      </w:r>
    </w:p>
    <w:p>
      <w:pPr>
        <w:pStyle w:val="ListBullet"/>
      </w:pPr>
      <w:r>
        <w:t>Design shall minimize weight variation arising from inconsistent feeding.</w:t>
      </w:r>
    </w:p>
    <w:p>
      <w:pPr>
        <w:pStyle w:val="Heading1"/>
      </w:pPr>
      <w:r>
        <w:t>11. Compression Force Monitoring and Protection</w:t>
      </w:r>
    </w:p>
    <w:p>
      <w:pPr>
        <w:pStyle w:val="ListBullet"/>
      </w:pPr>
      <w:r>
        <w:t>Pre-compression force shall be measurable where applicable.</w:t>
      </w:r>
    </w:p>
    <w:p>
      <w:pPr>
        <w:pStyle w:val="ListBullet"/>
      </w:pPr>
      <w:r>
        <w:t>Main compression force shall be measurable.</w:t>
      </w:r>
    </w:p>
    <w:p>
      <w:pPr>
        <w:pStyle w:val="ListBullet"/>
      </w:pPr>
      <w:r>
        <w:t>Individual-station force monitoring shall be provided where justified by process/equipment design.</w:t>
      </w:r>
    </w:p>
    <w:p>
      <w:pPr>
        <w:pStyle w:val="ListBullet"/>
      </w:pPr>
      <w:r>
        <w:t>Force trends shall be available where required.</w:t>
      </w:r>
    </w:p>
    <w:p>
      <w:pPr>
        <w:pStyle w:val="ListBullet"/>
      </w:pPr>
      <w:r>
        <w:t>High-force protection shall prevent unacceptable machine/tooling stress.</w:t>
      </w:r>
    </w:p>
    <w:p>
      <w:pPr>
        <w:pStyle w:val="ListBullet"/>
      </w:pPr>
      <w:r>
        <w:t>Low-force or abnormal-force detection shall be available where required.</w:t>
      </w:r>
    </w:p>
    <w:p>
      <w:pPr>
        <w:pStyle w:val="ListBullet"/>
      </w:pPr>
      <w:r>
        <w:t>Force alarms shall be risk-based and configurable only by authorized personnel.</w:t>
      </w:r>
    </w:p>
    <w:p>
      <w:pPr>
        <w:pStyle w:val="ListBullet"/>
      </w:pPr>
      <w:r>
        <w:t>Force data shall be recorded where it constitutes a GMP-relevant electronic record.</w:t>
      </w:r>
    </w:p>
    <w:p>
      <w:pPr>
        <w:pStyle w:val="ListBullet"/>
      </w:pPr>
      <w:r>
        <w:t>Critical force transducers shall be calibrated/verified.</w:t>
      </w:r>
    </w:p>
    <w:p>
      <w:pPr>
        <w:pStyle w:val="ListBullet"/>
      </w:pPr>
      <w:r>
        <w:t>Force monitoring shall support investigation of compression defects and tooling abnormalities.</w:t>
      </w:r>
    </w:p>
    <w:p>
      <w:pPr>
        <w:pStyle w:val="Heading1"/>
      </w:pPr>
      <w:r>
        <w:t>12. Tablet Weight Control</w:t>
      </w:r>
    </w:p>
    <w:p>
      <w:pPr>
        <w:pStyle w:val="ListBullet"/>
      </w:pPr>
      <w:r>
        <w:t>Automatic weight control shall be provided if specified by the process strategy.</w:t>
      </w:r>
    </w:p>
    <w:p>
      <w:pPr>
        <w:pStyle w:val="ListBullet"/>
      </w:pPr>
      <w:r>
        <w:t>Fill-depth adjustment shall be controlled and reproducible.</w:t>
      </w:r>
    </w:p>
    <w:p>
      <w:pPr>
        <w:pStyle w:val="ListBullet"/>
      </w:pPr>
      <w:r>
        <w:t>Tablet weight monitoring shall support the approved sampling/measurement strategy.</w:t>
      </w:r>
    </w:p>
    <w:p>
      <w:pPr>
        <w:pStyle w:val="ListBullet"/>
      </w:pPr>
      <w:r>
        <w:t>Upper/lower weight limits shall be controlled by authorized users.</w:t>
      </w:r>
    </w:p>
    <w:p>
      <w:pPr>
        <w:pStyle w:val="ListBullet"/>
      </w:pPr>
      <w:r>
        <w:t>Automatic weight-control actions shall be traceable where they affect GMP-relevant records.</w:t>
      </w:r>
    </w:p>
    <w:p>
      <w:pPr>
        <w:pStyle w:val="ListBullet"/>
      </w:pPr>
      <w:r>
        <w:t>Manual intervention shall be controlled and documented where applicable.</w:t>
      </w:r>
    </w:p>
    <w:p>
      <w:pPr>
        <w:pStyle w:val="ListBullet"/>
      </w:pPr>
      <w:r>
        <w:t>Weight-control data shall be retrievable where required.</w:t>
      </w:r>
    </w:p>
    <w:p>
      <w:pPr>
        <w:pStyle w:val="ListBullet"/>
      </w:pPr>
      <w:r>
        <w:t>Numerical weight limits shall be defined in approved product/process documents, not invented in the URS.</w:t>
      </w:r>
    </w:p>
    <w:p>
      <w:pPr>
        <w:pStyle w:val="Heading1"/>
      </w:pPr>
      <w:r>
        <w:t>13. Tablet Quality / IPC Interfaces</w:t>
      </w:r>
    </w:p>
    <w:p>
      <w:pPr>
        <w:pStyle w:val="ListBullet"/>
      </w:pPr>
      <w:r>
        <w:t>Where applicable, the system shall interface with tablet-weight measurement.</w:t>
      </w:r>
    </w:p>
    <w:p>
      <w:pPr>
        <w:pStyle w:val="ListBullet"/>
      </w:pPr>
      <w:r>
        <w:t>Thickness measurement may be integrated or interfaced where required.</w:t>
      </w:r>
    </w:p>
    <w:p>
      <w:pPr>
        <w:pStyle w:val="ListBullet"/>
      </w:pPr>
      <w:r>
        <w:t>Hardness measurement shall be treated as IPC/QC functionality and clearly distinguished from press control unless integrated.</w:t>
      </w:r>
    </w:p>
    <w:p>
      <w:pPr>
        <w:pStyle w:val="ListBullet"/>
      </w:pPr>
      <w:r>
        <w:t>Compression and ejection-force information shall be available for process monitoring where required.</w:t>
      </w:r>
    </w:p>
    <w:p>
      <w:pPr>
        <w:pStyle w:val="ListBullet"/>
      </w:pPr>
      <w:r>
        <w:t>Metal detection shall be interfaced where part of the process.</w:t>
      </w:r>
    </w:p>
    <w:p>
      <w:pPr>
        <w:pStyle w:val="ListBullet"/>
      </w:pPr>
      <w:r>
        <w:t>Reject counts and events shall be monitored.</w:t>
      </w:r>
    </w:p>
    <w:p>
      <w:pPr>
        <w:pStyle w:val="ListBullet"/>
      </w:pPr>
      <w:r>
        <w:t>Yield information shall be available where required.</w:t>
      </w:r>
    </w:p>
    <w:p>
      <w:pPr>
        <w:pStyle w:val="ListBullet"/>
      </w:pPr>
      <w:r>
        <w:t>Laboratory QC results shall not be assumed to be generated by the press unless an approved integrated system provides them.</w:t>
      </w:r>
    </w:p>
    <w:p>
      <w:pPr>
        <w:pStyle w:val="Heading1"/>
      </w:pPr>
      <w:r>
        <w:t>14. Reject System and Product Segregation</w:t>
      </w:r>
    </w:p>
    <w:p>
      <w:pPr>
        <w:pStyle w:val="ListBullet"/>
      </w:pPr>
      <w:r>
        <w:t>Automatic reject capability shall be provided where required.</w:t>
      </w:r>
    </w:p>
    <w:p>
      <w:pPr>
        <w:pStyle w:val="ListBullet"/>
      </w:pPr>
      <w:r>
        <w:t>Reject criteria shall be defined from approved process specifications.</w:t>
      </w:r>
    </w:p>
    <w:p>
      <w:pPr>
        <w:pStyle w:val="ListBullet"/>
      </w:pPr>
      <w:r>
        <w:t>Reject confirmation shall be provided where required.</w:t>
      </w:r>
    </w:p>
    <w:p>
      <w:pPr>
        <w:pStyle w:val="ListBullet"/>
      </w:pPr>
      <w:r>
        <w:t>Reject collection shall be physically or logically segregated from accepted product.</w:t>
      </w:r>
    </w:p>
    <w:p>
      <w:pPr>
        <w:pStyle w:val="ListBullet"/>
      </w:pPr>
      <w:r>
        <w:t>Reject-bin identification shall be clear.</w:t>
      </w:r>
    </w:p>
    <w:p>
      <w:pPr>
        <w:pStyle w:val="ListBullet"/>
      </w:pPr>
      <w:r>
        <w:t>Reject-bin-full or reject-system-fault alarms shall be provided where applicable.</w:t>
      </w:r>
    </w:p>
    <w:p>
      <w:pPr>
        <w:pStyle w:val="ListBullet"/>
      </w:pPr>
      <w:r>
        <w:t>Reject counts and events shall be recorded where GMP-relevant.</w:t>
      </w:r>
    </w:p>
    <w:p>
      <w:pPr>
        <w:pStyle w:val="ListBullet"/>
      </w:pPr>
      <w:r>
        <w:t>Failure of the reject system shall result in a defined safe response.</w:t>
      </w:r>
    </w:p>
    <w:p>
      <w:pPr>
        <w:pStyle w:val="ListBullet"/>
      </w:pPr>
      <w:r>
        <w:t>Unauthorized changes to reject logic/limits shall be prevented.</w:t>
      </w:r>
    </w:p>
    <w:p>
      <w:pPr>
        <w:pStyle w:val="ListBullet"/>
      </w:pPr>
      <w:r>
        <w:t>Downstream interfaces shall use defined handshake and fail-safe behavior.</w:t>
      </w:r>
    </w:p>
    <w:p>
      <w:pPr>
        <w:pStyle w:val="Heading1"/>
      </w:pPr>
      <w:r>
        <w:t>15. Dust Extraction and Containment</w:t>
      </w:r>
    </w:p>
    <w:p>
      <w:pPr>
        <w:pStyle w:val="ListBullet"/>
      </w:pPr>
      <w:r>
        <w:t>Dust extraction connection shall be suitable for the press design.</w:t>
      </w:r>
    </w:p>
    <w:p>
      <w:pPr>
        <w:pStyle w:val="ListBullet"/>
      </w:pPr>
      <w:r>
        <w:t>Airflow/pressure requirements shall be defined by engineering design.</w:t>
      </w:r>
    </w:p>
    <w:p>
      <w:pPr>
        <w:pStyle w:val="ListBullet"/>
      </w:pPr>
      <w:r>
        <w:t>Filter arrangement and monitoring shall be defined where applicable.</w:t>
      </w:r>
    </w:p>
    <w:p>
      <w:pPr>
        <w:pStyle w:val="ListBullet"/>
      </w:pPr>
      <w:r>
        <w:t>Design shall minimize dust accumulation on critical surfaces.</w:t>
      </w:r>
    </w:p>
    <w:p>
      <w:pPr>
        <w:pStyle w:val="ListBullet"/>
      </w:pPr>
      <w:r>
        <w:t>Operator exposure controls shall follow EHS and containment requirements.</w:t>
      </w:r>
    </w:p>
    <w:p>
      <w:pPr>
        <w:pStyle w:val="ListBullet"/>
      </w:pPr>
      <w:r>
        <w:t>Cross-contamination controls shall be incorporated based on facility strategy.</w:t>
      </w:r>
    </w:p>
    <w:p>
      <w:pPr>
        <w:pStyle w:val="ListBullet"/>
      </w:pPr>
      <w:r>
        <w:t>Potent-product containment shall be defined from product hazard/toxicological assessment.</w:t>
      </w:r>
    </w:p>
    <w:p>
      <w:pPr>
        <w:pStyle w:val="ListBullet"/>
      </w:pPr>
      <w:r>
        <w:t>Dust-extraction failure shall generate an alarm where failure can affect GMP or safety.</w:t>
      </w:r>
    </w:p>
    <w:p>
      <w:pPr>
        <w:pStyle w:val="Heading1"/>
      </w:pPr>
      <w:r>
        <w:t>16. Downstream Equipment Interfaces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Interface</w:t>
            </w:r>
          </w:p>
        </w:tc>
        <w:tc>
          <w:tcPr>
            <w:tcW w:type="dxa" w:w="5112"/>
            <w:shd w:fill="D9EAF7"/>
          </w:tcPr>
          <w:p>
            <w:r>
              <w:rPr>
                <w:b/>
                <w:sz w:val="15"/>
              </w:rPr>
              <w:t>Requirements</w:t>
            </w:r>
          </w:p>
        </w:tc>
      </w:tr>
      <w:tr>
        <w:tc>
          <w:tcPr>
            <w:tcW w:type="dxa" w:w="5112"/>
            <w:vAlign w:val="center"/>
          </w:tcPr>
          <w:p>
            <w:r>
              <w:rPr>
                <w:sz w:val="15"/>
              </w:rPr>
              <w:t>Tablet deduster</w:t>
            </w:r>
          </w:p>
        </w:tc>
        <w:tc>
          <w:tcPr>
            <w:tcW w:type="dxa" w:w="5112"/>
            <w:vAlign w:val="center"/>
          </w:tcPr>
          <w:p>
            <w:r>
              <w:rPr>
                <w:sz w:val="15"/>
              </w:rPr>
              <w:t>Defined mechanical/electrical/data interface; controlled handshake where required.</w:t>
            </w:r>
          </w:p>
        </w:tc>
      </w:tr>
      <w:tr>
        <w:tc>
          <w:tcPr>
            <w:tcW w:type="dxa" w:w="5112"/>
            <w:vAlign w:val="center"/>
          </w:tcPr>
          <w:p>
            <w:r>
              <w:rPr>
                <w:sz w:val="15"/>
              </w:rPr>
              <w:t>Metal detector</w:t>
            </w:r>
          </w:p>
        </w:tc>
        <w:tc>
          <w:tcPr>
            <w:tcW w:type="dxa" w:w="5112"/>
            <w:vAlign w:val="center"/>
          </w:tcPr>
          <w:p>
            <w:r>
              <w:rPr>
                <w:sz w:val="15"/>
              </w:rPr>
              <w:t>Start/stop, product-present, fault, reject and status signals as applicable.</w:t>
            </w:r>
          </w:p>
        </w:tc>
      </w:tr>
      <w:tr>
        <w:tc>
          <w:tcPr>
            <w:tcW w:type="dxa" w:w="5112"/>
            <w:vAlign w:val="center"/>
          </w:tcPr>
          <w:p>
            <w:r>
              <w:rPr>
                <w:sz w:val="15"/>
              </w:rPr>
              <w:t>Checkweigher</w:t>
            </w:r>
          </w:p>
        </w:tc>
        <w:tc>
          <w:tcPr>
            <w:tcW w:type="dxa" w:w="5112"/>
            <w:vAlign w:val="center"/>
          </w:tcPr>
          <w:p>
            <w:r>
              <w:rPr>
                <w:sz w:val="15"/>
              </w:rPr>
              <w:t>Communication and reject-handshake requirements where applicable.</w:t>
            </w:r>
          </w:p>
        </w:tc>
      </w:tr>
      <w:tr>
        <w:tc>
          <w:tcPr>
            <w:tcW w:type="dxa" w:w="5112"/>
            <w:vAlign w:val="center"/>
          </w:tcPr>
          <w:p>
            <w:r>
              <w:rPr>
                <w:sz w:val="15"/>
              </w:rPr>
              <w:t>Conveyor</w:t>
            </w:r>
          </w:p>
        </w:tc>
        <w:tc>
          <w:tcPr>
            <w:tcW w:type="dxa" w:w="5112"/>
            <w:vAlign w:val="center"/>
          </w:tcPr>
          <w:p>
            <w:r>
              <w:rPr>
                <w:sz w:val="15"/>
              </w:rPr>
              <w:t>Start/stop/status and safe interlock logic.</w:t>
            </w:r>
          </w:p>
        </w:tc>
      </w:tr>
      <w:tr>
        <w:tc>
          <w:tcPr>
            <w:tcW w:type="dxa" w:w="5112"/>
            <w:vAlign w:val="center"/>
          </w:tcPr>
          <w:p>
            <w:r>
              <w:rPr>
                <w:sz w:val="15"/>
              </w:rPr>
              <w:t>Collection system</w:t>
            </w:r>
          </w:p>
        </w:tc>
        <w:tc>
          <w:tcPr>
            <w:tcW w:type="dxa" w:w="5112"/>
            <w:vAlign w:val="center"/>
          </w:tcPr>
          <w:p>
            <w:r>
              <w:rPr>
                <w:sz w:val="15"/>
              </w:rPr>
              <w:t>Batch/product identity and equipment-status controls where applicable.</w:t>
            </w:r>
          </w:p>
        </w:tc>
      </w:tr>
      <w:tr>
        <w:tc>
          <w:tcPr>
            <w:tcW w:type="dxa" w:w="5112"/>
            <w:vAlign w:val="center"/>
          </w:tcPr>
          <w:p>
            <w:r>
              <w:rPr>
                <w:sz w:val="15"/>
              </w:rPr>
              <w:t>Reject system</w:t>
            </w:r>
          </w:p>
        </w:tc>
        <w:tc>
          <w:tcPr>
            <w:tcW w:type="dxa" w:w="5112"/>
            <w:vAlign w:val="center"/>
          </w:tcPr>
          <w:p>
            <w:r>
              <w:rPr>
                <w:sz w:val="15"/>
              </w:rPr>
              <w:t>Defined accept/reject handshake and fail-safe behavior.</w:t>
            </w:r>
          </w:p>
        </w:tc>
      </w:tr>
      <w:tr>
        <w:tc>
          <w:tcPr>
            <w:tcW w:type="dxa" w:w="5112"/>
            <w:vAlign w:val="center"/>
          </w:tcPr>
          <w:p>
            <w:r>
              <w:rPr>
                <w:sz w:val="15"/>
              </w:rPr>
              <w:t>SCADA/MES/eBR</w:t>
            </w:r>
          </w:p>
        </w:tc>
        <w:tc>
          <w:tcPr>
            <w:tcW w:type="dxa" w:w="5112"/>
            <w:vAlign w:val="center"/>
          </w:tcPr>
          <w:p>
            <w:r>
              <w:rPr>
                <w:sz w:val="15"/>
              </w:rPr>
              <w:t>Data mapping, ownership, communication protocol and failure strategy to be defined.</w:t>
            </w:r>
          </w:p>
        </w:tc>
      </w:tr>
    </w:tbl>
    <w:p/>
    <w:p>
      <w:pPr>
        <w:pStyle w:val="Heading1"/>
      </w:pPr>
      <w:r>
        <w:t>17. Automation Architecture</w:t>
      </w:r>
    </w:p>
    <w:p>
      <w:r>
        <w:t>The automation architecture shall document: Field devices → PLC/Controller → HMI/SCADA → Historian/Database → Site systems/interfaces.</w:t>
      </w:r>
    </w:p>
    <w:p>
      <w:pPr>
        <w:pStyle w:val="ListBullet"/>
      </w:pPr>
      <w:r>
        <w:t>PLC/controller shall execute approved control logic.</w:t>
      </w:r>
    </w:p>
    <w:p>
      <w:pPr>
        <w:pStyle w:val="ListBullet"/>
      </w:pPr>
      <w:r>
        <w:t>HMI shall provide controlled operator interaction.</w:t>
      </w:r>
    </w:p>
    <w:p>
      <w:pPr>
        <w:pStyle w:val="ListBullet"/>
      </w:pPr>
      <w:r>
        <w:t>SCADA/historian shall be included where required by system architecture.</w:t>
      </w:r>
    </w:p>
    <w:p>
      <w:pPr>
        <w:pStyle w:val="ListBullet"/>
      </w:pPr>
      <w:r>
        <w:t>VFDs/servo systems shall be appropriately configured and access controlled.</w:t>
      </w:r>
    </w:p>
    <w:p>
      <w:pPr>
        <w:pStyle w:val="ListBullet"/>
      </w:pPr>
      <w:r>
        <w:t>Force transducers and encoders shall provide reliable signals.</w:t>
      </w:r>
    </w:p>
    <w:p>
      <w:pPr>
        <w:pStyle w:val="ListBullet"/>
      </w:pPr>
      <w:r>
        <w:t>Control loops shall be documented and tested.</w:t>
      </w:r>
    </w:p>
    <w:p>
      <w:pPr>
        <w:pStyle w:val="ListBullet"/>
      </w:pPr>
      <w:r>
        <w:t>Interlocks and alarms shall be risk-based.</w:t>
      </w:r>
    </w:p>
    <w:p>
      <w:pPr>
        <w:pStyle w:val="ListBullet"/>
      </w:pPr>
      <w:r>
        <w:t>Recipe and batch functions shall be validated where GxP-relevant.</w:t>
      </w:r>
    </w:p>
    <w:p>
      <w:pPr>
        <w:pStyle w:val="ListBullet"/>
      </w:pPr>
      <w:r>
        <w:t>Data acquisition and reporting shall be documented.</w:t>
      </w:r>
    </w:p>
    <w:p>
      <w:pPr>
        <w:pStyle w:val="Heading1"/>
      </w:pPr>
      <w:r>
        <w:t>18. HMI Requirements</w:t>
      </w:r>
    </w:p>
    <w:p>
      <w:pPr>
        <w:pStyle w:val="ListBullet"/>
      </w:pPr>
      <w:r>
        <w:t>Process overview and machine status.</w:t>
      </w:r>
    </w:p>
    <w:p>
      <w:pPr>
        <w:pStyle w:val="ListBullet"/>
      </w:pPr>
      <w:r>
        <w:t>Setpoint and actual-value display.</w:t>
      </w:r>
    </w:p>
    <w:p>
      <w:pPr>
        <w:pStyle w:val="ListBullet"/>
      </w:pPr>
      <w:r>
        <w:t>Compression-force display.</w:t>
      </w:r>
    </w:p>
    <w:p>
      <w:pPr>
        <w:pStyle w:val="ListBullet"/>
      </w:pPr>
      <w:r>
        <w:t>Turret and feeder speed display.</w:t>
      </w:r>
    </w:p>
    <w:p>
      <w:pPr>
        <w:pStyle w:val="ListBullet"/>
      </w:pPr>
      <w:r>
        <w:t>Tablet-weight display where integrated.</w:t>
      </w:r>
    </w:p>
    <w:p>
      <w:pPr>
        <w:pStyle w:val="ListBullet"/>
      </w:pPr>
      <w:r>
        <w:t>Thickness display where integrated.</w:t>
      </w:r>
    </w:p>
    <w:p>
      <w:pPr>
        <w:pStyle w:val="ListBullet"/>
      </w:pPr>
      <w:r>
        <w:t>Alarm screen and alarm history.</w:t>
      </w:r>
    </w:p>
    <w:p>
      <w:pPr>
        <w:pStyle w:val="ListBullet"/>
      </w:pPr>
      <w:r>
        <w:t>Trend display where required.</w:t>
      </w:r>
    </w:p>
    <w:p>
      <w:pPr>
        <w:pStyle w:val="ListBullet"/>
      </w:pPr>
      <w:r>
        <w:t>Recipe management.</w:t>
      </w:r>
    </w:p>
    <w:p>
      <w:pPr>
        <w:pStyle w:val="ListBullet"/>
      </w:pPr>
      <w:r>
        <w:t>User login and role-based access.</w:t>
      </w:r>
    </w:p>
    <w:p>
      <w:pPr>
        <w:pStyle w:val="ListBullet"/>
      </w:pPr>
      <w:r>
        <w:t>Batch/product information.</w:t>
      </w:r>
    </w:p>
    <w:p>
      <w:pPr>
        <w:pStyle w:val="ListBullet"/>
      </w:pPr>
      <w:r>
        <w:t>Maintenance and diagnostic information.</w:t>
      </w:r>
    </w:p>
    <w:p>
      <w:pPr>
        <w:pStyle w:val="ListBullet"/>
      </w:pPr>
      <w:r>
        <w:t>Manual/automatic mode indication.</w:t>
      </w:r>
    </w:p>
    <w:p>
      <w:pPr>
        <w:pStyle w:val="ListBullet"/>
      </w:pPr>
      <w:r>
        <w:t>Controlled engineering/service access.</w:t>
      </w:r>
    </w:p>
    <w:p>
      <w:pPr>
        <w:pStyle w:val="ListBullet"/>
      </w:pPr>
      <w:r>
        <w:t>Critical settings shall not be modifiable by unauthorized users.</w:t>
      </w:r>
    </w:p>
    <w:p>
      <w:pPr>
        <w:pStyle w:val="Heading1"/>
      </w:pPr>
      <w:r>
        <w:t>19. Recipe and Batch Management</w:t>
      </w:r>
    </w:p>
    <w:p>
      <w:pPr>
        <w:pStyle w:val="ListBullet"/>
      </w:pPr>
      <w:r>
        <w:t>Recipe creation shall be controlled.</w:t>
      </w:r>
    </w:p>
    <w:p>
      <w:pPr>
        <w:pStyle w:val="ListBullet"/>
      </w:pPr>
      <w:r>
        <w:t>Recipe approval shall be controlled.</w:t>
      </w:r>
    </w:p>
    <w:p>
      <w:pPr>
        <w:pStyle w:val="ListBullet"/>
      </w:pPr>
      <w:r>
        <w:t>Recipe version shall be identifiable.</w:t>
      </w:r>
    </w:p>
    <w:p>
      <w:pPr>
        <w:pStyle w:val="ListBullet"/>
      </w:pPr>
      <w:r>
        <w:t>Approved recipes shall be protected from unauthorized modification.</w:t>
      </w:r>
    </w:p>
    <w:p>
      <w:pPr>
        <w:pStyle w:val="ListBullet"/>
      </w:pPr>
      <w:r>
        <w:t>Recipe retrieval shall be controlled.</w:t>
      </w:r>
    </w:p>
    <w:p>
      <w:pPr>
        <w:pStyle w:val="ListBullet"/>
      </w:pPr>
      <w:r>
        <w:t>Recipe changes shall be traceable where GMP-relevant.</w:t>
      </w:r>
    </w:p>
    <w:p>
      <w:pPr>
        <w:pStyle w:val="ListBullet"/>
      </w:pPr>
      <w:r>
        <w:t>Recipe deletion shall be restricted.</w:t>
      </w:r>
    </w:p>
    <w:p>
      <w:pPr>
        <w:pStyle w:val="ListBullet"/>
      </w:pPr>
      <w:r>
        <w:t>Recipe backup and restore shall be available where required.</w:t>
      </w:r>
    </w:p>
    <w:p>
      <w:pPr>
        <w:pStyle w:val="ListBullet"/>
      </w:pPr>
      <w:r>
        <w:t>Recipe comparison shall be available where required.</w:t>
      </w:r>
    </w:p>
    <w:p>
      <w:pPr>
        <w:pStyle w:val="ListBullet"/>
      </w:pPr>
      <w:r>
        <w:t>The system shall distinguish Master Recipe, Approved Recipe, Executed Batch Recipe and temporary/manual settings.</w:t>
      </w:r>
    </w:p>
    <w:p>
      <w:pPr>
        <w:pStyle w:val="Heading1"/>
      </w:pPr>
      <w:r>
        <w:t>20. Computerized System Validation (CSV) Requirements</w:t>
      </w:r>
    </w:p>
    <w:p>
      <w:r>
        <w:t>The computerized functions shall undergo a documented GxP impact assessment. The extent of validation shall be proportionate to intended use, system complexity, data integrity risk, configuration/customization and applicable regulations.</w:t>
      </w:r>
    </w:p>
    <w:p>
      <w:r>
        <w:t>Typical lifecycle: URS → Supplier Assessment → GxP Impact Assessment → Risk Assessment → Validation Plan → FS → DS/Configuration Specification → FAT → SAT → IQ → OQ → PQ where applicable → Traceability Matrix → Validation Summary Report.</w:t>
      </w:r>
    </w:p>
    <w:p>
      <w:pPr>
        <w:pStyle w:val="ListBullet"/>
      </w:pPr>
      <w:r>
        <w:t>PLC software, HMI, SCADA, historian/database, recipes, reports, interfaces and user management shall be assessed.</w:t>
      </w:r>
    </w:p>
    <w:p>
      <w:pPr>
        <w:pStyle w:val="ListBullet"/>
      </w:pPr>
      <w:r>
        <w:t>Hardware/software versions and configuration baselines shall be controlled.</w:t>
      </w:r>
    </w:p>
    <w:p>
      <w:pPr>
        <w:pStyle w:val="ListBullet"/>
      </w:pPr>
      <w:r>
        <w:t>Validation evidence shall be traceable to requirements.</w:t>
      </w:r>
    </w:p>
    <w:p>
      <w:pPr>
        <w:pStyle w:val="ListBullet"/>
      </w:pPr>
      <w:r>
        <w:t>Risk-based test coverage shall include normal, boundary, negative and failure scenarios.</w:t>
      </w:r>
    </w:p>
    <w:p>
      <w:pPr>
        <w:pStyle w:val="ListBullet"/>
      </w:pPr>
      <w:r>
        <w:t>FAT evidence may be leveraged where justified, with documented assessment and site-specific verification.</w:t>
      </w:r>
    </w:p>
    <w:p>
      <w:pPr>
        <w:pStyle w:val="ListBullet"/>
      </w:pPr>
      <w:r>
        <w:t>Changes to validated software/configuration shall be managed through change control.</w:t>
      </w:r>
    </w:p>
    <w:p>
      <w:pPr>
        <w:pStyle w:val="ListBullet"/>
      </w:pPr>
      <w:r>
        <w:t>Periodic evaluation shall assess validated state, security, access, incidents, backup and obsolescence.</w:t>
      </w:r>
    </w:p>
    <w:p>
      <w:pPr>
        <w:pStyle w:val="Heading1"/>
      </w:pPr>
      <w:r>
        <w:t>21. GAMP 5 Strategy</w:t>
      </w:r>
    </w:p>
    <w:p>
      <w:r>
        <w:t>The computerized system validation approach shall be risk-based and consistent with current GAMP 5 principles. System categorization and validation deliverables shall be justified rather than applied mechanically.</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System Element</w:t>
            </w:r>
          </w:p>
        </w:tc>
        <w:tc>
          <w:tcPr>
            <w:tcW w:type="dxa" w:w="5112"/>
            <w:shd w:fill="D9EAF7"/>
          </w:tcPr>
          <w:p>
            <w:r>
              <w:rPr>
                <w:b/>
                <w:sz w:val="15"/>
              </w:rPr>
              <w:t>Assessment</w:t>
            </w:r>
          </w:p>
        </w:tc>
      </w:tr>
      <w:tr>
        <w:tc>
          <w:tcPr>
            <w:tcW w:type="dxa" w:w="5112"/>
            <w:vAlign w:val="center"/>
          </w:tcPr>
          <w:p>
            <w:r>
              <w:rPr>
                <w:sz w:val="15"/>
              </w:rPr>
              <w:t>PLC/controller</w:t>
            </w:r>
          </w:p>
        </w:tc>
        <w:tc>
          <w:tcPr>
            <w:tcW w:type="dxa" w:w="5112"/>
            <w:vAlign w:val="center"/>
          </w:tcPr>
          <w:p>
            <w:r>
              <w:rPr>
                <w:sz w:val="15"/>
              </w:rPr>
              <w:t>Hardware plus firmware/application logic; determine GxP impact.</w:t>
            </w:r>
          </w:p>
        </w:tc>
      </w:tr>
      <w:tr>
        <w:tc>
          <w:tcPr>
            <w:tcW w:type="dxa" w:w="5112"/>
            <w:vAlign w:val="center"/>
          </w:tcPr>
          <w:p>
            <w:r>
              <w:rPr>
                <w:sz w:val="15"/>
              </w:rPr>
              <w:t>HMI</w:t>
            </w:r>
          </w:p>
        </w:tc>
        <w:tc>
          <w:tcPr>
            <w:tcW w:type="dxa" w:w="5112"/>
            <w:vAlign w:val="center"/>
          </w:tcPr>
          <w:p>
            <w:r>
              <w:rPr>
                <w:sz w:val="15"/>
              </w:rPr>
              <w:t>Configurable/customized functions and operator controls.</w:t>
            </w:r>
          </w:p>
        </w:tc>
      </w:tr>
      <w:tr>
        <w:tc>
          <w:tcPr>
            <w:tcW w:type="dxa" w:w="5112"/>
            <w:vAlign w:val="center"/>
          </w:tcPr>
          <w:p>
            <w:r>
              <w:rPr>
                <w:sz w:val="15"/>
              </w:rPr>
              <w:t>SCADA</w:t>
            </w:r>
          </w:p>
        </w:tc>
        <w:tc>
          <w:tcPr>
            <w:tcW w:type="dxa" w:w="5112"/>
            <w:vAlign w:val="center"/>
          </w:tcPr>
          <w:p>
            <w:r>
              <w:rPr>
                <w:sz w:val="15"/>
              </w:rPr>
              <w:t>Configurable/custom functionality, data acquisition and reporting.</w:t>
            </w:r>
          </w:p>
        </w:tc>
      </w:tr>
      <w:tr>
        <w:tc>
          <w:tcPr>
            <w:tcW w:type="dxa" w:w="5112"/>
            <w:vAlign w:val="center"/>
          </w:tcPr>
          <w:p>
            <w:r>
              <w:rPr>
                <w:sz w:val="15"/>
              </w:rPr>
              <w:t>Database/historian</w:t>
            </w:r>
          </w:p>
        </w:tc>
        <w:tc>
          <w:tcPr>
            <w:tcW w:type="dxa" w:w="5112"/>
            <w:vAlign w:val="center"/>
          </w:tcPr>
          <w:p>
            <w:r>
              <w:rPr>
                <w:sz w:val="15"/>
              </w:rPr>
              <w:t>GMP-relevant storage, retrieval, integrity and backup.</w:t>
            </w:r>
          </w:p>
        </w:tc>
      </w:tr>
      <w:tr>
        <w:tc>
          <w:tcPr>
            <w:tcW w:type="dxa" w:w="5112"/>
            <w:vAlign w:val="center"/>
          </w:tcPr>
          <w:p>
            <w:r>
              <w:rPr>
                <w:sz w:val="15"/>
              </w:rPr>
              <w:t>Recipe management</w:t>
            </w:r>
          </w:p>
        </w:tc>
        <w:tc>
          <w:tcPr>
            <w:tcW w:type="dxa" w:w="5112"/>
            <w:vAlign w:val="center"/>
          </w:tcPr>
          <w:p>
            <w:r>
              <w:rPr>
                <w:sz w:val="15"/>
              </w:rPr>
              <w:t>Potential GMP-critical configuration and electronic record function.</w:t>
            </w:r>
          </w:p>
        </w:tc>
      </w:tr>
      <w:tr>
        <w:tc>
          <w:tcPr>
            <w:tcW w:type="dxa" w:w="5112"/>
            <w:vAlign w:val="center"/>
          </w:tcPr>
          <w:p>
            <w:r>
              <w:rPr>
                <w:sz w:val="15"/>
              </w:rPr>
              <w:t>Interfaces</w:t>
            </w:r>
          </w:p>
        </w:tc>
        <w:tc>
          <w:tcPr>
            <w:tcW w:type="dxa" w:w="5112"/>
            <w:vAlign w:val="center"/>
          </w:tcPr>
          <w:p>
            <w:r>
              <w:rPr>
                <w:sz w:val="15"/>
              </w:rPr>
              <w:t>Data transfer, handshake, error handling and ownership.</w:t>
            </w:r>
          </w:p>
        </w:tc>
      </w:tr>
      <w:tr>
        <w:tc>
          <w:tcPr>
            <w:tcW w:type="dxa" w:w="5112"/>
            <w:vAlign w:val="center"/>
          </w:tcPr>
          <w:p>
            <w:r>
              <w:rPr>
                <w:sz w:val="15"/>
              </w:rPr>
              <w:t>Reports</w:t>
            </w:r>
          </w:p>
        </w:tc>
        <w:tc>
          <w:tcPr>
            <w:tcW w:type="dxa" w:w="5112"/>
            <w:vAlign w:val="center"/>
          </w:tcPr>
          <w:p>
            <w:r>
              <w:rPr>
                <w:sz w:val="15"/>
              </w:rPr>
              <w:t>GMP relevance, calculations, data integrity and retrieval.</w:t>
            </w:r>
          </w:p>
        </w:tc>
      </w:tr>
      <w:tr>
        <w:tc>
          <w:tcPr>
            <w:tcW w:type="dxa" w:w="5112"/>
            <w:vAlign w:val="center"/>
          </w:tcPr>
          <w:p>
            <w:r>
              <w:rPr>
                <w:sz w:val="15"/>
              </w:rPr>
              <w:t>Network</w:t>
            </w:r>
          </w:p>
        </w:tc>
        <w:tc>
          <w:tcPr>
            <w:tcW w:type="dxa" w:w="5112"/>
            <w:vAlign w:val="center"/>
          </w:tcPr>
          <w:p>
            <w:r>
              <w:rPr>
                <w:sz w:val="15"/>
              </w:rPr>
              <w:t>Availability, security and communication dependencies.</w:t>
            </w:r>
          </w:p>
        </w:tc>
      </w:tr>
    </w:tbl>
    <w:p/>
    <w:p>
      <w:pPr>
        <w:pStyle w:val="Heading1"/>
      </w:pPr>
      <w:r>
        <w:t>22. 21 CFR Part 11 Applicability and Controls</w:t>
      </w:r>
    </w:p>
    <w:p>
      <w:r>
        <w:t>Part 11 applicability shall be assessed based on the electronic records/signatures and applicable predicate rules. Where electronic records are used in place of required paper records, or electronic signatures serve as equivalents of required handwritten signatures, applicable Part 11 controls shall be addressed.</w:t>
      </w:r>
    </w:p>
    <w:p>
      <w:pPr>
        <w:pStyle w:val="ListBullet"/>
      </w:pPr>
      <w:r>
        <w:t>Unique user identification.</w:t>
      </w:r>
    </w:p>
    <w:p>
      <w:pPr>
        <w:pStyle w:val="ListBullet"/>
      </w:pPr>
      <w:r>
        <w:t>Secure authentication and password controls.</w:t>
      </w:r>
    </w:p>
    <w:p>
      <w:pPr>
        <w:pStyle w:val="ListBullet"/>
      </w:pPr>
      <w:r>
        <w:t>Authorized access and authority checks.</w:t>
      </w:r>
    </w:p>
    <w:p>
      <w:pPr>
        <w:pStyle w:val="ListBullet"/>
      </w:pPr>
      <w:r>
        <w:t>Operational checks.</w:t>
      </w:r>
    </w:p>
    <w:p>
      <w:pPr>
        <w:pStyle w:val="ListBullet"/>
      </w:pPr>
      <w:r>
        <w:t>Device checks where applicable.</w:t>
      </w:r>
    </w:p>
    <w:p>
      <w:pPr>
        <w:pStyle w:val="ListBullet"/>
      </w:pPr>
      <w:r>
        <w:t>Electronic records protection and retrieval.</w:t>
      </w:r>
    </w:p>
    <w:p>
      <w:pPr>
        <w:pStyle w:val="ListBullet"/>
      </w:pPr>
      <w:r>
        <w:t>Electronic signatures where applicable.</w:t>
      </w:r>
    </w:p>
    <w:p>
      <w:pPr>
        <w:pStyle w:val="ListBullet"/>
      </w:pPr>
      <w:r>
        <w:t>Signature manifestation and linking.</w:t>
      </w:r>
    </w:p>
    <w:p>
      <w:pPr>
        <w:pStyle w:val="ListBullet"/>
      </w:pPr>
      <w:r>
        <w:t>Audit trails where applicable.</w:t>
      </w:r>
    </w:p>
    <w:p>
      <w:pPr>
        <w:pStyle w:val="ListBullet"/>
      </w:pPr>
      <w:r>
        <w:t>System documentation and controlled configuration.</w:t>
      </w:r>
    </w:p>
    <w:p>
      <w:pPr>
        <w:pStyle w:val="ListBullet"/>
      </w:pPr>
      <w:r>
        <w:t>Training/competency of users and system personnel.</w:t>
      </w:r>
    </w:p>
    <w:p>
      <w:pPr>
        <w:pStyle w:val="Heading1"/>
      </w:pPr>
      <w:r>
        <w:t>23. EU GMP Annex 11</w:t>
      </w:r>
    </w:p>
    <w:p>
      <w:pPr>
        <w:pStyle w:val="ListBullet"/>
      </w:pPr>
      <w:r>
        <w:t>Risk management and documented intended use.</w:t>
      </w:r>
    </w:p>
    <w:p>
      <w:pPr>
        <w:pStyle w:val="ListBullet"/>
      </w:pPr>
      <w:r>
        <w:t>Qualification/validation of relevant computerized functions.</w:t>
      </w:r>
    </w:p>
    <w:p>
      <w:pPr>
        <w:pStyle w:val="ListBullet"/>
      </w:pPr>
      <w:r>
        <w:t>Data accuracy and integrity controls.</w:t>
      </w:r>
    </w:p>
    <w:p>
      <w:pPr>
        <w:pStyle w:val="ListBullet"/>
      </w:pPr>
      <w:r>
        <w:t>Access control and security.</w:t>
      </w:r>
    </w:p>
    <w:p>
      <w:pPr>
        <w:pStyle w:val="ListBullet"/>
      </w:pPr>
      <w:r>
        <w:t>Audit trail where required.</w:t>
      </w:r>
    </w:p>
    <w:p>
      <w:pPr>
        <w:pStyle w:val="ListBullet"/>
      </w:pPr>
      <w:r>
        <w:t>Change management and configuration control.</w:t>
      </w:r>
    </w:p>
    <w:p>
      <w:pPr>
        <w:pStyle w:val="ListBullet"/>
      </w:pPr>
      <w:r>
        <w:t>Periodic evaluation.</w:t>
      </w:r>
    </w:p>
    <w:p>
      <w:pPr>
        <w:pStyle w:val="ListBullet"/>
      </w:pPr>
      <w:r>
        <w:t>Incident management.</w:t>
      </w:r>
    </w:p>
    <w:p>
      <w:pPr>
        <w:pStyle w:val="ListBullet"/>
      </w:pPr>
      <w:r>
        <w:t>Electronic signatures where applicable.</w:t>
      </w:r>
    </w:p>
    <w:p>
      <w:pPr>
        <w:pStyle w:val="ListBullet"/>
      </w:pPr>
      <w:r>
        <w:t>Business continuity and recovery.</w:t>
      </w:r>
    </w:p>
    <w:p>
      <w:pPr>
        <w:pStyle w:val="ListBullet"/>
      </w:pPr>
      <w:r>
        <w:t>Archiving and retrieval.</w:t>
      </w:r>
    </w:p>
    <w:p>
      <w:pPr>
        <w:pStyle w:val="Heading1"/>
      </w:pPr>
      <w:r>
        <w:t>24. Data Integrity – ALCOA+</w:t>
      </w:r>
    </w:p>
    <w:p>
      <w:r>
        <w:t>GMP-relevant data shall be attributable, legible, contemporaneous, original and accurate, with appropriate completeness, consistency, endurance and availability.</w:t>
      </w:r>
    </w:p>
    <w:p>
      <w:pPr>
        <w:pStyle w:val="ListBullet"/>
      </w:pPr>
      <w:r>
        <w:t>Recipe and parameter changes shall be attributable.</w:t>
      </w:r>
    </w:p>
    <w:p>
      <w:pPr>
        <w:pStyle w:val="ListBullet"/>
      </w:pPr>
      <w:r>
        <w:t>Compression-force data shall be protected against unauthorized alteration.</w:t>
      </w:r>
    </w:p>
    <w:p>
      <w:pPr>
        <w:pStyle w:val="ListBullet"/>
      </w:pPr>
      <w:r>
        <w:t>Weight/reject data shall be protected where GMP-relevant.</w:t>
      </w:r>
    </w:p>
    <w:p>
      <w:pPr>
        <w:pStyle w:val="ListBullet"/>
      </w:pPr>
      <w:r>
        <w:t>Audit-trail information shall be reliable.</w:t>
      </w:r>
    </w:p>
    <w:p>
      <w:pPr>
        <w:pStyle w:val="ListBullet"/>
      </w:pPr>
      <w:r>
        <w:t>Shared GMP accounts shall not be used.</w:t>
      </w:r>
    </w:p>
    <w:p>
      <w:pPr>
        <w:pStyle w:val="ListBullet"/>
      </w:pPr>
      <w:r>
        <w:t>System time shall be controlled.</w:t>
      </w:r>
    </w:p>
    <w:p>
      <w:pPr>
        <w:pStyle w:val="ListBullet"/>
      </w:pPr>
      <w:r>
        <w:t>Data deletion shall be controlled.</w:t>
      </w:r>
    </w:p>
    <w:p>
      <w:pPr>
        <w:pStyle w:val="ListBullet"/>
      </w:pPr>
      <w:r>
        <w:t>Administrator access shall be restricted.</w:t>
      </w:r>
    </w:p>
    <w:p>
      <w:pPr>
        <w:pStyle w:val="ListBullet"/>
      </w:pPr>
      <w:r>
        <w:t>Backup/restore shall preserve data integrity.</w:t>
      </w:r>
    </w:p>
    <w:p>
      <w:pPr>
        <w:pStyle w:val="ListBullet"/>
      </w:pPr>
      <w:r>
        <w:t>Remote access shall be controlled and logged.</w:t>
      </w:r>
    </w:p>
    <w:p>
      <w:pPr>
        <w:pStyle w:val="Heading1"/>
      </w:pPr>
      <w:r>
        <w:t>25. Audit Trail Requirements</w:t>
      </w:r>
    </w:p>
    <w:p>
      <w:pPr>
        <w:pStyle w:val="ListBullet"/>
      </w:pPr>
      <w:r>
        <w:t>Login/logout and failed-login events.</w:t>
      </w:r>
    </w:p>
    <w:p>
      <w:pPr>
        <w:pStyle w:val="ListBullet"/>
      </w:pPr>
      <w:r>
        <w:t>Recipe creation, modification and deletion.</w:t>
      </w:r>
    </w:p>
    <w:p>
      <w:pPr>
        <w:pStyle w:val="ListBullet"/>
      </w:pPr>
      <w:r>
        <w:t>Compression setpoint changes.</w:t>
      </w:r>
    </w:p>
    <w:p>
      <w:pPr>
        <w:pStyle w:val="ListBullet"/>
      </w:pPr>
      <w:r>
        <w:t>Force-limit changes.</w:t>
      </w:r>
    </w:p>
    <w:p>
      <w:pPr>
        <w:pStyle w:val="ListBullet"/>
      </w:pPr>
      <w:r>
        <w:t>Weight-control changes.</w:t>
      </w:r>
    </w:p>
    <w:p>
      <w:pPr>
        <w:pStyle w:val="ListBullet"/>
      </w:pPr>
      <w:r>
        <w:t>User creation/modification/deactivation.</w:t>
      </w:r>
    </w:p>
    <w:p>
      <w:pPr>
        <w:pStyle w:val="ListBullet"/>
      </w:pPr>
      <w:r>
        <w:t>Configuration changes.</w:t>
      </w:r>
    </w:p>
    <w:p>
      <w:pPr>
        <w:pStyle w:val="ListBullet"/>
      </w:pPr>
      <w:r>
        <w:t>Alarm acknowledgement where GMP-relevant.</w:t>
      </w:r>
    </w:p>
    <w:p>
      <w:pPr>
        <w:pStyle w:val="ListBullet"/>
      </w:pPr>
      <w:r>
        <w:t>Date/time changes.</w:t>
      </w:r>
    </w:p>
    <w:p>
      <w:pPr>
        <w:pStyle w:val="ListBullet"/>
      </w:pPr>
      <w:r>
        <w:t>Data deletion attempts.</w:t>
      </w:r>
    </w:p>
    <w:p>
      <w:pPr>
        <w:pStyle w:val="ListBullet"/>
      </w:pPr>
      <w:r>
        <w:t>Electronic signatures.</w:t>
      </w:r>
    </w:p>
    <w:p>
      <w:r>
        <w:t>Audit trail shall support reconstruction of relevant events through WHO, WHAT and WHEN, and WHY/reason-for-change where applicable. Audit-trail review capability shall be provided where required by risk and regulation.</w:t>
      </w:r>
    </w:p>
    <w:p>
      <w:pPr>
        <w:pStyle w:val="Heading1"/>
      </w:pPr>
      <w:r>
        <w:t>26. User Access Management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Role</w:t>
            </w:r>
          </w:p>
        </w:tc>
        <w:tc>
          <w:tcPr>
            <w:tcW w:type="dxa" w:w="5112"/>
            <w:shd w:fill="D9EAF7"/>
          </w:tcPr>
          <w:p>
            <w:r>
              <w:rPr>
                <w:b/>
                <w:sz w:val="15"/>
              </w:rPr>
              <w:t>Typical Access</w:t>
            </w:r>
          </w:p>
        </w:tc>
      </w:tr>
      <w:tr>
        <w:tc>
          <w:tcPr>
            <w:tcW w:type="dxa" w:w="5112"/>
            <w:vAlign w:val="center"/>
          </w:tcPr>
          <w:p>
            <w:r>
              <w:rPr>
                <w:sz w:val="15"/>
              </w:rPr>
              <w:t>Operator</w:t>
            </w:r>
          </w:p>
        </w:tc>
        <w:tc>
          <w:tcPr>
            <w:tcW w:type="dxa" w:w="5112"/>
            <w:vAlign w:val="center"/>
          </w:tcPr>
          <w:p>
            <w:r>
              <w:rPr>
                <w:sz w:val="15"/>
              </w:rPr>
              <w:t>Execute approved recipes/process; view status and alarms.</w:t>
            </w:r>
          </w:p>
        </w:tc>
      </w:tr>
      <w:tr>
        <w:tc>
          <w:tcPr>
            <w:tcW w:type="dxa" w:w="5112"/>
            <w:vAlign w:val="center"/>
          </w:tcPr>
          <w:p>
            <w:r>
              <w:rPr>
                <w:sz w:val="15"/>
              </w:rPr>
              <w:t>Supervisor</w:t>
            </w:r>
          </w:p>
        </w:tc>
        <w:tc>
          <w:tcPr>
            <w:tcW w:type="dxa" w:w="5112"/>
            <w:vAlign w:val="center"/>
          </w:tcPr>
          <w:p>
            <w:r>
              <w:rPr>
                <w:sz w:val="15"/>
              </w:rPr>
              <w:t>Operational oversight and authorized parameter actions.</w:t>
            </w:r>
          </w:p>
        </w:tc>
      </w:tr>
      <w:tr>
        <w:tc>
          <w:tcPr>
            <w:tcW w:type="dxa" w:w="5112"/>
            <w:vAlign w:val="center"/>
          </w:tcPr>
          <w:p>
            <w:r>
              <w:rPr>
                <w:sz w:val="15"/>
              </w:rPr>
              <w:t>Production</w:t>
            </w:r>
          </w:p>
        </w:tc>
        <w:tc>
          <w:tcPr>
            <w:tcW w:type="dxa" w:w="5112"/>
            <w:vAlign w:val="center"/>
          </w:tcPr>
          <w:p>
            <w:r>
              <w:rPr>
                <w:sz w:val="15"/>
              </w:rPr>
              <w:t>Controlled operational review.</w:t>
            </w:r>
          </w:p>
        </w:tc>
      </w:tr>
      <w:tr>
        <w:tc>
          <w:tcPr>
            <w:tcW w:type="dxa" w:w="5112"/>
            <w:vAlign w:val="center"/>
          </w:tcPr>
          <w:p>
            <w:r>
              <w:rPr>
                <w:sz w:val="15"/>
              </w:rPr>
              <w:t>Engineering</w:t>
            </w:r>
          </w:p>
        </w:tc>
        <w:tc>
          <w:tcPr>
            <w:tcW w:type="dxa" w:w="5112"/>
            <w:vAlign w:val="center"/>
          </w:tcPr>
          <w:p>
            <w:r>
              <w:rPr>
                <w:sz w:val="15"/>
              </w:rPr>
              <w:t>Authorized maintenance/configuration.</w:t>
            </w:r>
          </w:p>
        </w:tc>
      </w:tr>
      <w:tr>
        <w:tc>
          <w:tcPr>
            <w:tcW w:type="dxa" w:w="5112"/>
            <w:vAlign w:val="center"/>
          </w:tcPr>
          <w:p>
            <w:r>
              <w:rPr>
                <w:sz w:val="15"/>
              </w:rPr>
              <w:t>Maintenance</w:t>
            </w:r>
          </w:p>
        </w:tc>
        <w:tc>
          <w:tcPr>
            <w:tcW w:type="dxa" w:w="5112"/>
            <w:vAlign w:val="center"/>
          </w:tcPr>
          <w:p>
            <w:r>
              <w:rPr>
                <w:sz w:val="15"/>
              </w:rPr>
              <w:t>Maintenance functions.</w:t>
            </w:r>
          </w:p>
        </w:tc>
      </w:tr>
      <w:tr>
        <w:tc>
          <w:tcPr>
            <w:tcW w:type="dxa" w:w="5112"/>
            <w:vAlign w:val="center"/>
          </w:tcPr>
          <w:p>
            <w:r>
              <w:rPr>
                <w:sz w:val="15"/>
              </w:rPr>
              <w:t>QA</w:t>
            </w:r>
          </w:p>
        </w:tc>
        <w:tc>
          <w:tcPr>
            <w:tcW w:type="dxa" w:w="5112"/>
            <w:vAlign w:val="center"/>
          </w:tcPr>
          <w:p>
            <w:r>
              <w:rPr>
                <w:sz w:val="15"/>
              </w:rPr>
              <w:t>Review/audit functions as authorized.</w:t>
            </w:r>
          </w:p>
        </w:tc>
      </w:tr>
      <w:tr>
        <w:tc>
          <w:tcPr>
            <w:tcW w:type="dxa" w:w="5112"/>
            <w:vAlign w:val="center"/>
          </w:tcPr>
          <w:p>
            <w:r>
              <w:rPr>
                <w:sz w:val="15"/>
              </w:rPr>
              <w:t>Validation/CSV</w:t>
            </w:r>
          </w:p>
        </w:tc>
        <w:tc>
          <w:tcPr>
            <w:tcW w:type="dxa" w:w="5112"/>
            <w:vAlign w:val="center"/>
          </w:tcPr>
          <w:p>
            <w:r>
              <w:rPr>
                <w:sz w:val="15"/>
              </w:rPr>
              <w:t>Validation activities.</w:t>
            </w:r>
          </w:p>
        </w:tc>
      </w:tr>
      <w:tr>
        <w:tc>
          <w:tcPr>
            <w:tcW w:type="dxa" w:w="5112"/>
            <w:vAlign w:val="center"/>
          </w:tcPr>
          <w:p>
            <w:r>
              <w:rPr>
                <w:sz w:val="15"/>
              </w:rPr>
              <w:t>Automation/IT</w:t>
            </w:r>
          </w:p>
        </w:tc>
        <w:tc>
          <w:tcPr>
            <w:tcW w:type="dxa" w:w="5112"/>
            <w:vAlign w:val="center"/>
          </w:tcPr>
          <w:p>
            <w:r>
              <w:rPr>
                <w:sz w:val="15"/>
              </w:rPr>
              <w:t>Controlled technical administration.</w:t>
            </w:r>
          </w:p>
        </w:tc>
      </w:tr>
      <w:tr>
        <w:tc>
          <w:tcPr>
            <w:tcW w:type="dxa" w:w="5112"/>
            <w:vAlign w:val="center"/>
          </w:tcPr>
          <w:p>
            <w:r>
              <w:rPr>
                <w:sz w:val="15"/>
              </w:rPr>
              <w:t>System Administrator</w:t>
            </w:r>
          </w:p>
        </w:tc>
        <w:tc>
          <w:tcPr>
            <w:tcW w:type="dxa" w:w="5112"/>
            <w:vAlign w:val="center"/>
          </w:tcPr>
          <w:p>
            <w:r>
              <w:rPr>
                <w:sz w:val="15"/>
              </w:rPr>
              <w:t>Restricted technical administration; no uncontrolled GMP-record manipulation.</w:t>
            </w:r>
          </w:p>
        </w:tc>
      </w:tr>
    </w:tbl>
    <w:p/>
    <w:p>
      <w:pPr>
        <w:pStyle w:val="ListBullet"/>
      </w:pPr>
      <w:r>
        <w:t>Unique accounts</w:t>
      </w:r>
    </w:p>
    <w:p>
      <w:pPr>
        <w:pStyle w:val="ListBullet"/>
      </w:pPr>
      <w:r>
        <w:t>No shared GMP accounts</w:t>
      </w:r>
    </w:p>
    <w:p>
      <w:pPr>
        <w:pStyle w:val="ListBullet"/>
      </w:pPr>
      <w:r>
        <w:t>Role-based access</w:t>
      </w:r>
    </w:p>
    <w:p>
      <w:pPr>
        <w:pStyle w:val="ListBullet"/>
      </w:pPr>
      <w:r>
        <w:t>Password policy</w:t>
      </w:r>
    </w:p>
    <w:p>
      <w:pPr>
        <w:pStyle w:val="ListBullet"/>
      </w:pPr>
      <w:r>
        <w:t>Inactive-user management</w:t>
      </w:r>
    </w:p>
    <w:p>
      <w:pPr>
        <w:pStyle w:val="ListBullet"/>
      </w:pPr>
      <w:r>
        <w:t>Periodic access review</w:t>
      </w:r>
    </w:p>
    <w:p>
      <w:pPr>
        <w:pStyle w:val="ListBullet"/>
      </w:pPr>
      <w:r>
        <w:t>Segregation of duties where justified</w:t>
      </w:r>
    </w:p>
    <w:p>
      <w:pPr>
        <w:pStyle w:val="Heading1"/>
      </w:pPr>
      <w:r>
        <w:t>27. Cybersecurity</w:t>
      </w:r>
    </w:p>
    <w:p>
      <w:pPr>
        <w:pStyle w:val="ListBullet"/>
      </w:pPr>
      <w:r>
        <w:t>Network architecture and segmentation shall be documented.</w:t>
      </w:r>
    </w:p>
    <w:p>
      <w:pPr>
        <w:pStyle w:val="ListBullet"/>
      </w:pPr>
      <w:r>
        <w:t>Authentication shall be controlled.</w:t>
      </w:r>
    </w:p>
    <w:p>
      <w:pPr>
        <w:pStyle w:val="ListBullet"/>
      </w:pPr>
      <w:r>
        <w:t>Firewalling and endpoint protection shall be applied where appropriate.</w:t>
      </w:r>
    </w:p>
    <w:p>
      <w:pPr>
        <w:pStyle w:val="ListBullet"/>
      </w:pPr>
      <w:r>
        <w:t>USB/removable-media controls shall be defined.</w:t>
      </w:r>
    </w:p>
    <w:p>
      <w:pPr>
        <w:pStyle w:val="ListBullet"/>
      </w:pPr>
      <w:r>
        <w:t>Vendor remote access shall require authorization and logging.</w:t>
      </w:r>
    </w:p>
    <w:p>
      <w:pPr>
        <w:pStyle w:val="ListBullet"/>
      </w:pPr>
      <w:r>
        <w:t>Patch management shall consider validated-state impact.</w:t>
      </w:r>
    </w:p>
    <w:p>
      <w:pPr>
        <w:pStyle w:val="ListBullet"/>
      </w:pPr>
      <w:r>
        <w:t>Administrative privileges shall be restricted.</w:t>
      </w:r>
    </w:p>
    <w:p>
      <w:pPr>
        <w:pStyle w:val="ListBullet"/>
      </w:pPr>
      <w:r>
        <w:t>Security logging shall be implemented where appropriate.</w:t>
      </w:r>
    </w:p>
    <w:p>
      <w:pPr>
        <w:pStyle w:val="ListBullet"/>
      </w:pPr>
      <w:r>
        <w:t>Backup shall be protected from unauthorized modification.</w:t>
      </w:r>
    </w:p>
    <w:p>
      <w:pPr>
        <w:pStyle w:val="ListBullet"/>
      </w:pPr>
      <w:r>
        <w:t>System hardening and vulnerability management shall be risk-based.</w:t>
      </w:r>
    </w:p>
    <w:p>
      <w:pPr>
        <w:pStyle w:val="Heading1"/>
      </w:pPr>
      <w:r>
        <w:t>28. Data Storage, Backup and Restore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Requirement</w:t>
            </w:r>
          </w:p>
        </w:tc>
        <w:tc>
          <w:tcPr>
            <w:tcW w:type="dxa" w:w="5112"/>
            <w:shd w:fill="D9EAF7"/>
          </w:tcPr>
          <w:p>
            <w:r>
              <w:rPr>
                <w:b/>
                <w:sz w:val="15"/>
              </w:rPr>
              <w:t>Expectation</w:t>
            </w:r>
          </w:p>
        </w:tc>
      </w:tr>
      <w:tr>
        <w:tc>
          <w:tcPr>
            <w:tcW w:type="dxa" w:w="5112"/>
            <w:vAlign w:val="center"/>
          </w:tcPr>
          <w:p>
            <w:r>
              <w:rPr>
                <w:sz w:val="15"/>
              </w:rPr>
              <w:t>Data architecture</w:t>
            </w:r>
          </w:p>
        </w:tc>
        <w:tc>
          <w:tcPr>
            <w:tcW w:type="dxa" w:w="5112"/>
            <w:vAlign w:val="center"/>
          </w:tcPr>
          <w:p>
            <w:r>
              <w:rPr>
                <w:sz w:val="15"/>
              </w:rPr>
              <w:t>Document source, storage, transfer and ownership.</w:t>
            </w:r>
          </w:p>
        </w:tc>
      </w:tr>
      <w:tr>
        <w:tc>
          <w:tcPr>
            <w:tcW w:type="dxa" w:w="5112"/>
            <w:vAlign w:val="center"/>
          </w:tcPr>
          <w:p>
            <w:r>
              <w:rPr>
                <w:sz w:val="15"/>
              </w:rPr>
              <w:t>Retention</w:t>
            </w:r>
          </w:p>
        </w:tc>
        <w:tc>
          <w:tcPr>
            <w:tcW w:type="dxa" w:w="5112"/>
            <w:vAlign w:val="center"/>
          </w:tcPr>
          <w:p>
            <w:r>
              <w:rPr>
                <w:sz w:val="15"/>
              </w:rPr>
              <w:t>Defined by applicable record-retention requirements and site procedures.</w:t>
            </w:r>
          </w:p>
        </w:tc>
      </w:tr>
      <w:tr>
        <w:tc>
          <w:tcPr>
            <w:tcW w:type="dxa" w:w="5112"/>
            <w:vAlign w:val="center"/>
          </w:tcPr>
          <w:p>
            <w:r>
              <w:rPr>
                <w:sz w:val="15"/>
              </w:rPr>
              <w:t>Backup</w:t>
            </w:r>
          </w:p>
        </w:tc>
        <w:tc>
          <w:tcPr>
            <w:tcW w:type="dxa" w:w="5112"/>
            <w:vAlign w:val="center"/>
          </w:tcPr>
          <w:p>
            <w:r>
              <w:rPr>
                <w:sz w:val="15"/>
              </w:rPr>
              <w:t>Defined frequency, method, location/media and protection.</w:t>
            </w:r>
          </w:p>
        </w:tc>
      </w:tr>
      <w:tr>
        <w:tc>
          <w:tcPr>
            <w:tcW w:type="dxa" w:w="5112"/>
            <w:vAlign w:val="center"/>
          </w:tcPr>
          <w:p>
            <w:r>
              <w:rPr>
                <w:sz w:val="15"/>
              </w:rPr>
              <w:t>Restore</w:t>
            </w:r>
          </w:p>
        </w:tc>
        <w:tc>
          <w:tcPr>
            <w:tcW w:type="dxa" w:w="5112"/>
            <w:vAlign w:val="center"/>
          </w:tcPr>
          <w:p>
            <w:r>
              <w:rPr>
                <w:sz w:val="15"/>
              </w:rPr>
              <w:t>Documented restoration procedure and test.</w:t>
            </w:r>
          </w:p>
        </w:tc>
      </w:tr>
      <w:tr>
        <w:tc>
          <w:tcPr>
            <w:tcW w:type="dxa" w:w="5112"/>
            <w:vAlign w:val="center"/>
          </w:tcPr>
          <w:p>
            <w:r>
              <w:rPr>
                <w:sz w:val="15"/>
              </w:rPr>
              <w:t>Backup verification</w:t>
            </w:r>
          </w:p>
        </w:tc>
        <w:tc>
          <w:tcPr>
            <w:tcW w:type="dxa" w:w="5112"/>
            <w:vAlign w:val="center"/>
          </w:tcPr>
          <w:p>
            <w:r>
              <w:rPr>
                <w:sz w:val="15"/>
              </w:rPr>
              <w:t>Periodic verification of successful backup and recoverability.</w:t>
            </w:r>
          </w:p>
        </w:tc>
      </w:tr>
      <w:tr>
        <w:tc>
          <w:tcPr>
            <w:tcW w:type="dxa" w:w="5112"/>
            <w:vAlign w:val="center"/>
          </w:tcPr>
          <w:p>
            <w:r>
              <w:rPr>
                <w:sz w:val="15"/>
              </w:rPr>
              <w:t>Archiving</w:t>
            </w:r>
          </w:p>
        </w:tc>
        <w:tc>
          <w:tcPr>
            <w:tcW w:type="dxa" w:w="5112"/>
            <w:vAlign w:val="center"/>
          </w:tcPr>
          <w:p>
            <w:r>
              <w:rPr>
                <w:sz w:val="15"/>
              </w:rPr>
              <w:t>Controlled archival and retrieval.</w:t>
            </w:r>
          </w:p>
        </w:tc>
      </w:tr>
      <w:tr>
        <w:tc>
          <w:tcPr>
            <w:tcW w:type="dxa" w:w="5112"/>
            <w:vAlign w:val="center"/>
          </w:tcPr>
          <w:p>
            <w:r>
              <w:rPr>
                <w:sz w:val="15"/>
              </w:rPr>
              <w:t>Database integrity</w:t>
            </w:r>
          </w:p>
        </w:tc>
        <w:tc>
          <w:tcPr>
            <w:tcW w:type="dxa" w:w="5112"/>
            <w:vAlign w:val="center"/>
          </w:tcPr>
          <w:p>
            <w:r>
              <w:rPr>
                <w:sz w:val="15"/>
              </w:rPr>
              <w:t>Access controlled and protected against unauthorized modification.</w:t>
            </w:r>
          </w:p>
        </w:tc>
      </w:tr>
      <w:tr>
        <w:tc>
          <w:tcPr>
            <w:tcW w:type="dxa" w:w="5112"/>
            <w:vAlign w:val="center"/>
          </w:tcPr>
          <w:p>
            <w:r>
              <w:rPr>
                <w:sz w:val="15"/>
              </w:rPr>
              <w:t>Disaster recovery</w:t>
            </w:r>
          </w:p>
        </w:tc>
        <w:tc>
          <w:tcPr>
            <w:tcW w:type="dxa" w:w="5112"/>
            <w:vAlign w:val="center"/>
          </w:tcPr>
          <w:p>
            <w:r>
              <w:rPr>
                <w:sz w:val="15"/>
              </w:rPr>
              <w:t>Defined recovery strategy based on business/GMP risk.</w:t>
            </w:r>
          </w:p>
        </w:tc>
      </w:tr>
    </w:tbl>
    <w:p/>
    <w:p>
      <w:pPr>
        <w:pStyle w:val="Heading1"/>
      </w:pPr>
      <w:r>
        <w:t>29. Time Synchronization</w:t>
      </w:r>
    </w:p>
    <w:p>
      <w:pPr>
        <w:pStyle w:val="ListBullet"/>
      </w:pPr>
      <w:r>
        <w:t>PLC clock</w:t>
      </w:r>
    </w:p>
    <w:p>
      <w:pPr>
        <w:pStyle w:val="ListBullet"/>
      </w:pPr>
      <w:r>
        <w:t>HMI clock</w:t>
      </w:r>
    </w:p>
    <w:p>
      <w:pPr>
        <w:pStyle w:val="ListBullet"/>
      </w:pPr>
      <w:r>
        <w:t>SCADA clock</w:t>
      </w:r>
    </w:p>
    <w:p>
      <w:pPr>
        <w:pStyle w:val="ListBullet"/>
      </w:pPr>
      <w:r>
        <w:t>Server/database clock</w:t>
      </w:r>
    </w:p>
    <w:p>
      <w:pPr>
        <w:pStyle w:val="ListBullet"/>
      </w:pPr>
      <w:r>
        <w:t>Time zone</w:t>
      </w:r>
    </w:p>
    <w:p>
      <w:pPr>
        <w:pStyle w:val="ListBullet"/>
      </w:pPr>
      <w:r>
        <w:t>Network time synchronization</w:t>
      </w:r>
    </w:p>
    <w:p>
      <w:pPr>
        <w:pStyle w:val="ListBullet"/>
      </w:pPr>
      <w:r>
        <w:t>Controlled date/time changes</w:t>
      </w:r>
    </w:p>
    <w:p>
      <w:r>
        <w:t>GMP-relevant timestamps shall be consistent, reliable and traceable.</w:t>
      </w:r>
    </w:p>
    <w:p>
      <w:pPr>
        <w:pStyle w:val="Heading1"/>
      </w:pPr>
      <w:r>
        <w:t>30. Alarm Management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Potential Alarm</w:t>
            </w:r>
          </w:p>
        </w:tc>
        <w:tc>
          <w:tcPr>
            <w:tcW w:type="dxa" w:w="5112"/>
            <w:shd w:fill="D9EAF7"/>
          </w:tcPr>
          <w:p>
            <w:r>
              <w:rPr>
                <w:b/>
                <w:sz w:val="15"/>
              </w:rPr>
              <w:t>Required Response</w:t>
            </w:r>
          </w:p>
        </w:tc>
      </w:tr>
      <w:tr>
        <w:tc>
          <w:tcPr>
            <w:tcW w:type="dxa" w:w="5112"/>
            <w:vAlign w:val="center"/>
          </w:tcPr>
          <w:p>
            <w:r>
              <w:rPr>
                <w:sz w:val="15"/>
              </w:rPr>
              <w:t>High compression force</w:t>
            </w:r>
          </w:p>
        </w:tc>
        <w:tc>
          <w:tcPr>
            <w:tcW w:type="dxa" w:w="5112"/>
            <w:vAlign w:val="center"/>
          </w:tcPr>
          <w:p>
            <w:r>
              <w:rPr>
                <w:sz w:val="15"/>
              </w:rPr>
              <w:t>Alarm and defined safe response; protect tooling/equipment.</w:t>
            </w:r>
          </w:p>
        </w:tc>
      </w:tr>
      <w:tr>
        <w:tc>
          <w:tcPr>
            <w:tcW w:type="dxa" w:w="5112"/>
            <w:vAlign w:val="center"/>
          </w:tcPr>
          <w:p>
            <w:r>
              <w:rPr>
                <w:sz w:val="15"/>
              </w:rPr>
              <w:t>Low compression force</w:t>
            </w:r>
          </w:p>
        </w:tc>
        <w:tc>
          <w:tcPr>
            <w:tcW w:type="dxa" w:w="5112"/>
            <w:vAlign w:val="center"/>
          </w:tcPr>
          <w:p>
            <w:r>
              <w:rPr>
                <w:sz w:val="15"/>
              </w:rPr>
              <w:t>Alarm where relevant to product/process control.</w:t>
            </w:r>
          </w:p>
        </w:tc>
      </w:tr>
      <w:tr>
        <w:tc>
          <w:tcPr>
            <w:tcW w:type="dxa" w:w="5112"/>
            <w:vAlign w:val="center"/>
          </w:tcPr>
          <w:p>
            <w:r>
              <w:rPr>
                <w:sz w:val="15"/>
              </w:rPr>
              <w:t>Force-transducer failure</w:t>
            </w:r>
          </w:p>
        </w:tc>
        <w:tc>
          <w:tcPr>
            <w:tcW w:type="dxa" w:w="5112"/>
            <w:vAlign w:val="center"/>
          </w:tcPr>
          <w:p>
            <w:r>
              <w:rPr>
                <w:sz w:val="15"/>
              </w:rPr>
              <w:t>Detect and alarm; defined process response.</w:t>
            </w:r>
          </w:p>
        </w:tc>
      </w:tr>
      <w:tr>
        <w:tc>
          <w:tcPr>
            <w:tcW w:type="dxa" w:w="5112"/>
            <w:vAlign w:val="center"/>
          </w:tcPr>
          <w:p>
            <w:r>
              <w:rPr>
                <w:sz w:val="15"/>
              </w:rPr>
              <w:t>Feeder failure</w:t>
            </w:r>
          </w:p>
        </w:tc>
        <w:tc>
          <w:tcPr>
            <w:tcW w:type="dxa" w:w="5112"/>
            <w:vAlign w:val="center"/>
          </w:tcPr>
          <w:p>
            <w:r>
              <w:rPr>
                <w:sz w:val="15"/>
              </w:rPr>
              <w:t>Alarm and safe process response.</w:t>
            </w:r>
          </w:p>
        </w:tc>
      </w:tr>
      <w:tr>
        <w:tc>
          <w:tcPr>
            <w:tcW w:type="dxa" w:w="5112"/>
            <w:vAlign w:val="center"/>
          </w:tcPr>
          <w:p>
            <w:r>
              <w:rPr>
                <w:sz w:val="15"/>
              </w:rPr>
              <w:t>Turret overload</w:t>
            </w:r>
          </w:p>
        </w:tc>
        <w:tc>
          <w:tcPr>
            <w:tcW w:type="dxa" w:w="5112"/>
            <w:vAlign w:val="center"/>
          </w:tcPr>
          <w:p>
            <w:r>
              <w:rPr>
                <w:sz w:val="15"/>
              </w:rPr>
              <w:t>Alarm/protection.</w:t>
            </w:r>
          </w:p>
        </w:tc>
      </w:tr>
      <w:tr>
        <w:tc>
          <w:tcPr>
            <w:tcW w:type="dxa" w:w="5112"/>
            <w:vAlign w:val="center"/>
          </w:tcPr>
          <w:p>
            <w:r>
              <w:rPr>
                <w:sz w:val="15"/>
              </w:rPr>
              <w:t>Motor overload</w:t>
            </w:r>
          </w:p>
        </w:tc>
        <w:tc>
          <w:tcPr>
            <w:tcW w:type="dxa" w:w="5112"/>
            <w:vAlign w:val="center"/>
          </w:tcPr>
          <w:p>
            <w:r>
              <w:rPr>
                <w:sz w:val="15"/>
              </w:rPr>
              <w:t>Alarm/protection.</w:t>
            </w:r>
          </w:p>
        </w:tc>
      </w:tr>
      <w:tr>
        <w:tc>
          <w:tcPr>
            <w:tcW w:type="dxa" w:w="5112"/>
            <w:vAlign w:val="center"/>
          </w:tcPr>
          <w:p>
            <w:r>
              <w:rPr>
                <w:sz w:val="15"/>
              </w:rPr>
              <w:t>Lubrication failure</w:t>
            </w:r>
          </w:p>
        </w:tc>
        <w:tc>
          <w:tcPr>
            <w:tcW w:type="dxa" w:w="5112"/>
            <w:vAlign w:val="center"/>
          </w:tcPr>
          <w:p>
            <w:r>
              <w:rPr>
                <w:sz w:val="15"/>
              </w:rPr>
              <w:t>Alarm/interlock where required.</w:t>
            </w:r>
          </w:p>
        </w:tc>
      </w:tr>
      <w:tr>
        <w:tc>
          <w:tcPr>
            <w:tcW w:type="dxa" w:w="5112"/>
            <w:vAlign w:val="center"/>
          </w:tcPr>
          <w:p>
            <w:r>
              <w:rPr>
                <w:sz w:val="15"/>
              </w:rPr>
              <w:t>Low hopper level</w:t>
            </w:r>
          </w:p>
        </w:tc>
        <w:tc>
          <w:tcPr>
            <w:tcW w:type="dxa" w:w="5112"/>
            <w:vAlign w:val="center"/>
          </w:tcPr>
          <w:p>
            <w:r>
              <w:rPr>
                <w:sz w:val="15"/>
              </w:rPr>
              <w:t>Alarm where relevant.</w:t>
            </w:r>
          </w:p>
        </w:tc>
      </w:tr>
      <w:tr>
        <w:tc>
          <w:tcPr>
            <w:tcW w:type="dxa" w:w="5112"/>
            <w:vAlign w:val="center"/>
          </w:tcPr>
          <w:p>
            <w:r>
              <w:rPr>
                <w:sz w:val="15"/>
              </w:rPr>
              <w:t>Dust-extraction failure</w:t>
            </w:r>
          </w:p>
        </w:tc>
        <w:tc>
          <w:tcPr>
            <w:tcW w:type="dxa" w:w="5112"/>
            <w:vAlign w:val="center"/>
          </w:tcPr>
          <w:p>
            <w:r>
              <w:rPr>
                <w:sz w:val="15"/>
              </w:rPr>
              <w:t>Alarm/interlock where required.</w:t>
            </w:r>
          </w:p>
        </w:tc>
      </w:tr>
      <w:tr>
        <w:tc>
          <w:tcPr>
            <w:tcW w:type="dxa" w:w="5112"/>
            <w:vAlign w:val="center"/>
          </w:tcPr>
          <w:p>
            <w:r>
              <w:rPr>
                <w:sz w:val="15"/>
              </w:rPr>
              <w:t>Reject-bin full</w:t>
            </w:r>
          </w:p>
        </w:tc>
        <w:tc>
          <w:tcPr>
            <w:tcW w:type="dxa" w:w="5112"/>
            <w:vAlign w:val="center"/>
          </w:tcPr>
          <w:p>
            <w:r>
              <w:rPr>
                <w:sz w:val="15"/>
              </w:rPr>
              <w:t>Alarm and controlled response.</w:t>
            </w:r>
          </w:p>
        </w:tc>
      </w:tr>
      <w:tr>
        <w:tc>
          <w:tcPr>
            <w:tcW w:type="dxa" w:w="5112"/>
            <w:vAlign w:val="center"/>
          </w:tcPr>
          <w:p>
            <w:r>
              <w:rPr>
                <w:sz w:val="15"/>
              </w:rPr>
              <w:t>Metal-detector fault</w:t>
            </w:r>
          </w:p>
        </w:tc>
        <w:tc>
          <w:tcPr>
            <w:tcW w:type="dxa" w:w="5112"/>
            <w:vAlign w:val="center"/>
          </w:tcPr>
          <w:p>
            <w:r>
              <w:rPr>
                <w:sz w:val="15"/>
              </w:rPr>
              <w:t>Alarm and downstream safe response.</w:t>
            </w:r>
          </w:p>
        </w:tc>
      </w:tr>
      <w:tr>
        <w:tc>
          <w:tcPr>
            <w:tcW w:type="dxa" w:w="5112"/>
            <w:vAlign w:val="center"/>
          </w:tcPr>
          <w:p>
            <w:r>
              <w:rPr>
                <w:sz w:val="15"/>
              </w:rPr>
              <w:t>Communication failure</w:t>
            </w:r>
          </w:p>
        </w:tc>
        <w:tc>
          <w:tcPr>
            <w:tcW w:type="dxa" w:w="5112"/>
            <w:vAlign w:val="center"/>
          </w:tcPr>
          <w:p>
            <w:r>
              <w:rPr>
                <w:sz w:val="15"/>
              </w:rPr>
              <w:t>Alarm and defined fail-safe behavior.</w:t>
            </w:r>
          </w:p>
        </w:tc>
      </w:tr>
      <w:tr>
        <w:tc>
          <w:tcPr>
            <w:tcW w:type="dxa" w:w="5112"/>
            <w:vAlign w:val="center"/>
          </w:tcPr>
          <w:p>
            <w:r>
              <w:rPr>
                <w:sz w:val="15"/>
              </w:rPr>
              <w:t>Emergency stop</w:t>
            </w:r>
          </w:p>
        </w:tc>
        <w:tc>
          <w:tcPr>
            <w:tcW w:type="dxa" w:w="5112"/>
            <w:vAlign w:val="center"/>
          </w:tcPr>
          <w:p>
            <w:r>
              <w:rPr>
                <w:sz w:val="15"/>
              </w:rPr>
              <w:t>Immediate safe-state response.</w:t>
            </w:r>
          </w:p>
        </w:tc>
      </w:tr>
      <w:tr>
        <w:tc>
          <w:tcPr>
            <w:tcW w:type="dxa" w:w="5112"/>
            <w:vAlign w:val="center"/>
          </w:tcPr>
          <w:p>
            <w:r>
              <w:rPr>
                <w:sz w:val="15"/>
              </w:rPr>
              <w:t>Safety-door open</w:t>
            </w:r>
          </w:p>
        </w:tc>
        <w:tc>
          <w:tcPr>
            <w:tcW w:type="dxa" w:w="5112"/>
            <w:vAlign w:val="center"/>
          </w:tcPr>
          <w:p>
            <w:r>
              <w:rPr>
                <w:sz w:val="15"/>
              </w:rPr>
              <w:t>Defined safe-state response.</w:t>
            </w:r>
          </w:p>
        </w:tc>
      </w:tr>
    </w:tbl>
    <w:p/>
    <w:p>
      <w:r>
        <w:t>Alarm priorities shall be established through documented risk assessment; the URS shall not invent priority classes without process/safety justification.</w:t>
      </w:r>
    </w:p>
    <w:p>
      <w:pPr>
        <w:pStyle w:val="Heading1"/>
      </w:pPr>
      <w:r>
        <w:t>31. Safety and Interlocks</w:t>
      </w:r>
    </w:p>
    <w:p>
      <w:pPr>
        <w:pStyle w:val="ListBullet"/>
      </w:pPr>
      <w:r>
        <w:t>Emergency stop shall be provided.</w:t>
      </w:r>
    </w:p>
    <w:p>
      <w:pPr>
        <w:pStyle w:val="ListBullet"/>
      </w:pPr>
      <w:r>
        <w:t>Guard/door interlocks shall protect personnel.</w:t>
      </w:r>
    </w:p>
    <w:p>
      <w:pPr>
        <w:pStyle w:val="ListBullet"/>
      </w:pPr>
      <w:r>
        <w:t>Turret and feeder interlocks shall be provided as required.</w:t>
      </w:r>
    </w:p>
    <w:p>
      <w:pPr>
        <w:pStyle w:val="ListBullet"/>
      </w:pPr>
      <w:r>
        <w:t>High-force protection shall protect tooling and equipment.</w:t>
      </w:r>
    </w:p>
    <w:p>
      <w:pPr>
        <w:pStyle w:val="ListBullet"/>
      </w:pPr>
      <w:r>
        <w:t>Overload protection shall be provided.</w:t>
      </w:r>
    </w:p>
    <w:p>
      <w:pPr>
        <w:pStyle w:val="ListBullet"/>
      </w:pPr>
      <w:r>
        <w:t>Lubrication interlock shall be provided where loss of lubrication can cause damage.</w:t>
      </w:r>
    </w:p>
    <w:p>
      <w:pPr>
        <w:pStyle w:val="ListBullet"/>
      </w:pPr>
      <w:r>
        <w:t>Dust-extraction interlock shall be considered where necessary for safety/GMP.</w:t>
      </w:r>
    </w:p>
    <w:p>
      <w:pPr>
        <w:pStyle w:val="ListBullet"/>
      </w:pPr>
      <w:r>
        <w:t>Reject-system and downstream interlocks shall be defined.</w:t>
      </w:r>
    </w:p>
    <w:p>
      <w:pPr>
        <w:pStyle w:val="ListBullet"/>
      </w:pPr>
      <w:r>
        <w:t>Fire/explosion protection shall be addressed where applicable.</w:t>
      </w:r>
    </w:p>
    <w:p>
      <w:pPr>
        <w:pStyle w:val="ListBullet"/>
      </w:pPr>
      <w:r>
        <w:t>Personnel-safety interlocks shall be clearly distinguished from GMP/process interlocks.</w:t>
      </w:r>
    </w:p>
    <w:p>
      <w:pPr>
        <w:pStyle w:val="Heading1"/>
      </w:pPr>
      <w:r>
        <w:t>32. Cleaning and Changeover</w:t>
      </w:r>
    </w:p>
    <w:p>
      <w:pPr>
        <w:pStyle w:val="ListBullet"/>
      </w:pPr>
      <w:r>
        <w:t>Product-contact areas shall be accessible for cleaning.</w:t>
      </w:r>
    </w:p>
    <w:p>
      <w:pPr>
        <w:pStyle w:val="ListBullet"/>
      </w:pPr>
      <w:r>
        <w:t>Tooling shall be removable without unreasonable risk of damage or mix-up.</w:t>
      </w:r>
    </w:p>
    <w:p>
      <w:pPr>
        <w:pStyle w:val="ListBullet"/>
      </w:pPr>
      <w:r>
        <w:t>Feeder/feed-frame shall be cleanable and inspectable.</w:t>
      </w:r>
    </w:p>
    <w:p>
      <w:pPr>
        <w:pStyle w:val="ListBullet"/>
      </w:pPr>
      <w:r>
        <w:t>Turret and punch/die areas shall be accessible.</w:t>
      </w:r>
    </w:p>
    <w:p>
      <w:pPr>
        <w:pStyle w:val="ListBullet"/>
      </w:pPr>
      <w:r>
        <w:t>Dedusting and dust-extraction components shall be cleanable.</w:t>
      </w:r>
    </w:p>
    <w:p>
      <w:pPr>
        <w:pStyle w:val="ListBullet"/>
      </w:pPr>
      <w:r>
        <w:t>Cleaning status shall be identifiable where required.</w:t>
      </w:r>
    </w:p>
    <w:p>
      <w:pPr>
        <w:pStyle w:val="ListBullet"/>
      </w:pPr>
      <w:r>
        <w:t>Cleaning verification shall follow the approved site strategy.</w:t>
      </w:r>
    </w:p>
    <w:p>
      <w:pPr>
        <w:pStyle w:val="ListBullet"/>
      </w:pPr>
      <w:r>
        <w:t>Changeover shall be designed to minimize mix-up and cross-contamination.</w:t>
      </w:r>
    </w:p>
    <w:p>
      <w:pPr>
        <w:pStyle w:val="ListBullet"/>
      </w:pPr>
      <w:r>
        <w:t>Cleaning validation requirements shall be determined through the site cleaning-validation strategy.</w:t>
      </w:r>
    </w:p>
    <w:p>
      <w:pPr>
        <w:pStyle w:val="Heading1"/>
      </w:pPr>
      <w:r>
        <w:t>33. Cross-Contamination and Containment</w:t>
      </w:r>
    </w:p>
    <w:p>
      <w:pPr>
        <w:pStyle w:val="ListBullet"/>
      </w:pPr>
      <w:r>
        <w:t>Minimize product retention</w:t>
      </w:r>
    </w:p>
    <w:p>
      <w:pPr>
        <w:pStyle w:val="ListBullet"/>
      </w:pPr>
      <w:r>
        <w:t>Minimize dust accumulation</w:t>
      </w:r>
    </w:p>
    <w:p>
      <w:pPr>
        <w:pStyle w:val="ListBullet"/>
      </w:pPr>
      <w:r>
        <w:t>Minimize residue</w:t>
      </w:r>
    </w:p>
    <w:p>
      <w:pPr>
        <w:pStyle w:val="ListBullet"/>
      </w:pPr>
      <w:r>
        <w:t>Control tooling carryover</w:t>
      </w:r>
    </w:p>
    <w:p>
      <w:pPr>
        <w:pStyle w:val="ListBullet"/>
      </w:pPr>
      <w:r>
        <w:t>Control feeder carryover</w:t>
      </w:r>
    </w:p>
    <w:p>
      <w:pPr>
        <w:pStyle w:val="ListBullet"/>
      </w:pPr>
      <w:r>
        <w:t>Use suitable seals/gaskets</w:t>
      </w:r>
    </w:p>
    <w:p>
      <w:pPr>
        <w:pStyle w:val="ListBullet"/>
      </w:pPr>
      <w:r>
        <w:t>Define potent-product containment from hazard/toxicological assessment</w:t>
      </w:r>
    </w:p>
    <w:p>
      <w:pPr>
        <w:pStyle w:val="ListBullet"/>
      </w:pPr>
      <w:r>
        <w:t>Verify cleaning effectiveness according to approved procedures</w:t>
      </w:r>
    </w:p>
    <w:p>
      <w:pPr>
        <w:pStyle w:val="Heading1"/>
      </w:pPr>
      <w:r>
        <w:t>34. Utilities</w:t>
      </w:r>
    </w:p>
    <w:tbl>
      <w:tblPr>
        <w:tblStyle w:val="TableGrid"/>
        <w:tblW w:type="auto" w:w="0"/>
        <w:jc w:val="center"/>
        <w:tblLook w:firstColumn="1" w:firstRow="1" w:lastColumn="0" w:lastRow="0" w:noHBand="0" w:noVBand="1" w:val="04A0"/>
      </w:tblPr>
      <w:tblGrid>
        <w:gridCol w:w="1461"/>
        <w:gridCol w:w="1461"/>
        <w:gridCol w:w="1461"/>
        <w:gridCol w:w="1461"/>
        <w:gridCol w:w="1461"/>
        <w:gridCol w:w="1461"/>
        <w:gridCol w:w="1461"/>
      </w:tblGrid>
      <w:tr>
        <w:trPr>
          <w:tblHeader w:val="true"/>
        </w:trPr>
        <w:tc>
          <w:tcPr>
            <w:tcW w:type="dxa" w:w="1461"/>
            <w:shd w:fill="D9EAF7"/>
          </w:tcPr>
          <w:p>
            <w:r>
              <w:rPr>
                <w:b/>
                <w:sz w:val="15"/>
              </w:rPr>
              <w:t>Utility</w:t>
            </w:r>
          </w:p>
        </w:tc>
        <w:tc>
          <w:tcPr>
            <w:tcW w:type="dxa" w:w="1461"/>
            <w:shd w:fill="D9EAF7"/>
          </w:tcPr>
          <w:p>
            <w:r>
              <w:rPr>
                <w:b/>
                <w:sz w:val="15"/>
              </w:rPr>
              <w:t>Quality</w:t>
            </w:r>
          </w:p>
        </w:tc>
        <w:tc>
          <w:tcPr>
            <w:tcW w:type="dxa" w:w="1461"/>
            <w:shd w:fill="D9EAF7"/>
          </w:tcPr>
          <w:p>
            <w:r>
              <w:rPr>
                <w:b/>
                <w:sz w:val="15"/>
              </w:rPr>
              <w:t>Pressure</w:t>
            </w:r>
          </w:p>
        </w:tc>
        <w:tc>
          <w:tcPr>
            <w:tcW w:type="dxa" w:w="1461"/>
            <w:shd w:fill="D9EAF7"/>
          </w:tcPr>
          <w:p>
            <w:r>
              <w:rPr>
                <w:b/>
                <w:sz w:val="15"/>
              </w:rPr>
              <w:t>Flow</w:t>
            </w:r>
          </w:p>
        </w:tc>
        <w:tc>
          <w:tcPr>
            <w:tcW w:type="dxa" w:w="1461"/>
            <w:shd w:fill="D9EAF7"/>
          </w:tcPr>
          <w:p>
            <w:r>
              <w:rPr>
                <w:b/>
                <w:sz w:val="15"/>
              </w:rPr>
              <w:t>Capacity</w:t>
            </w:r>
          </w:p>
        </w:tc>
        <w:tc>
          <w:tcPr>
            <w:tcW w:type="dxa" w:w="1461"/>
            <w:shd w:fill="D9EAF7"/>
          </w:tcPr>
          <w:p>
            <w:r>
              <w:rPr>
                <w:b/>
                <w:sz w:val="15"/>
              </w:rPr>
              <w:t>Connection</w:t>
            </w:r>
          </w:p>
        </w:tc>
        <w:tc>
          <w:tcPr>
            <w:tcW w:type="dxa" w:w="1461"/>
            <w:shd w:fill="D9EAF7"/>
          </w:tcPr>
          <w:p>
            <w:r>
              <w:rPr>
                <w:b/>
                <w:sz w:val="15"/>
              </w:rPr>
              <w:t>Monitoring</w:t>
            </w:r>
          </w:p>
        </w:tc>
      </w:tr>
      <w:tr>
        <w:tc>
          <w:tcPr>
            <w:tcW w:type="dxa" w:w="1461"/>
            <w:vAlign w:val="center"/>
          </w:tcPr>
          <w:p>
            <w:r>
              <w:rPr>
                <w:sz w:val="15"/>
              </w:rPr>
              <w:t>Electrical power</w:t>
            </w:r>
          </w:p>
        </w:tc>
        <w:tc>
          <w:tcPr>
            <w:tcW w:type="dxa" w:w="1461"/>
            <w:vAlign w:val="center"/>
          </w:tcPr>
          <w:p>
            <w:r>
              <w:rPr>
                <w:sz w:val="15"/>
              </w:rPr>
              <w:t>To be defined</w:t>
            </w:r>
          </w:p>
        </w:tc>
        <w:tc>
          <w:tcPr>
            <w:tcW w:type="dxa" w:w="1461"/>
            <w:vAlign w:val="center"/>
          </w:tcPr>
          <w:p>
            <w:r>
              <w:rPr>
                <w:sz w:val="15"/>
              </w:rPr>
              <w:t>N/A</w:t>
            </w:r>
          </w:p>
        </w:tc>
        <w:tc>
          <w:tcPr>
            <w:tcW w:type="dxa" w:w="1461"/>
            <w:vAlign w:val="center"/>
          </w:tcPr>
          <w:p>
            <w:r>
              <w:rPr>
                <w:sz w:val="15"/>
              </w:rPr>
              <w:t>N/A</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As applicable</w:t>
            </w:r>
          </w:p>
        </w:tc>
      </w:tr>
      <w:tr>
        <w:tc>
          <w:tcPr>
            <w:tcW w:type="dxa" w:w="1461"/>
            <w:vAlign w:val="center"/>
          </w:tcPr>
          <w:p>
            <w:r>
              <w:rPr>
                <w:sz w:val="15"/>
              </w:rPr>
              <w:t>Compressed air</w:t>
            </w:r>
          </w:p>
        </w:tc>
        <w:tc>
          <w:tcPr>
            <w:tcW w:type="dxa" w:w="1461"/>
            <w:vAlign w:val="center"/>
          </w:tcPr>
          <w:p>
            <w:r>
              <w:rPr>
                <w:sz w:val="15"/>
              </w:rPr>
              <w:t>To be defined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Required</w:t>
            </w:r>
          </w:p>
        </w:tc>
      </w:tr>
      <w:tr>
        <w:tc>
          <w:tcPr>
            <w:tcW w:type="dxa" w:w="1461"/>
            <w:vAlign w:val="center"/>
          </w:tcPr>
          <w:p>
            <w:r>
              <w:rPr>
                <w:sz w:val="15"/>
              </w:rPr>
              <w:t>Instrument air</w:t>
            </w:r>
          </w:p>
        </w:tc>
        <w:tc>
          <w:tcPr>
            <w:tcW w:type="dxa" w:w="1461"/>
            <w:vAlign w:val="center"/>
          </w:tcPr>
          <w:p>
            <w:r>
              <w:rPr>
                <w:sz w:val="15"/>
              </w:rPr>
              <w:t>To be defined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As applicable</w:t>
            </w:r>
          </w:p>
        </w:tc>
      </w:tr>
      <w:tr>
        <w:tc>
          <w:tcPr>
            <w:tcW w:type="dxa" w:w="1461"/>
            <w:vAlign w:val="center"/>
          </w:tcPr>
          <w:p>
            <w:r>
              <w:rPr>
                <w:sz w:val="15"/>
              </w:rPr>
              <w:t>Vacuum</w:t>
            </w:r>
          </w:p>
        </w:tc>
        <w:tc>
          <w:tcPr>
            <w:tcW w:type="dxa" w:w="1461"/>
            <w:vAlign w:val="center"/>
          </w:tcPr>
          <w:p>
            <w:r>
              <w:rPr>
                <w:sz w:val="15"/>
              </w:rPr>
              <w:t>To be defined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Required where applicable</w:t>
            </w:r>
          </w:p>
        </w:tc>
      </w:tr>
      <w:tr>
        <w:tc>
          <w:tcPr>
            <w:tcW w:type="dxa" w:w="1461"/>
            <w:vAlign w:val="center"/>
          </w:tcPr>
          <w:p>
            <w:r>
              <w:rPr>
                <w:sz w:val="15"/>
              </w:rPr>
              <w:t>Dust extraction</w:t>
            </w:r>
          </w:p>
        </w:tc>
        <w:tc>
          <w:tcPr>
            <w:tcW w:type="dxa" w:w="1461"/>
            <w:vAlign w:val="center"/>
          </w:tcPr>
          <w:p>
            <w:r>
              <w:rPr>
                <w:sz w:val="15"/>
              </w:rPr>
              <w:t>To be defined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Required</w:t>
            </w:r>
          </w:p>
        </w:tc>
      </w:tr>
      <w:tr>
        <w:tc>
          <w:tcPr>
            <w:tcW w:type="dxa" w:w="1461"/>
            <w:vAlign w:val="center"/>
          </w:tcPr>
          <w:p>
            <w:r>
              <w:rPr>
                <w:sz w:val="15"/>
              </w:rPr>
              <w:t>HVAC/environment</w:t>
            </w:r>
          </w:p>
        </w:tc>
        <w:tc>
          <w:tcPr>
            <w:tcW w:type="dxa" w:w="1461"/>
            <w:vAlign w:val="center"/>
          </w:tcPr>
          <w:p>
            <w:r>
              <w:rPr>
                <w:sz w:val="15"/>
              </w:rPr>
              <w:t>To be defined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As applicable</w:t>
            </w:r>
          </w:p>
        </w:tc>
      </w:tr>
      <w:tr>
        <w:tc>
          <w:tcPr>
            <w:tcW w:type="dxa" w:w="1461"/>
            <w:vAlign w:val="center"/>
          </w:tcPr>
          <w:p>
            <w:r>
              <w:rPr>
                <w:sz w:val="15"/>
              </w:rPr>
              <w:t>Cooling</w:t>
            </w:r>
          </w:p>
        </w:tc>
        <w:tc>
          <w:tcPr>
            <w:tcW w:type="dxa" w:w="1461"/>
            <w:vAlign w:val="center"/>
          </w:tcPr>
          <w:p>
            <w:r>
              <w:rPr>
                <w:sz w:val="15"/>
              </w:rPr>
              <w:t>If applicable</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As applicable</w:t>
            </w:r>
          </w:p>
        </w:tc>
      </w:tr>
      <w:tr>
        <w:tc>
          <w:tcPr>
            <w:tcW w:type="dxa" w:w="1461"/>
            <w:vAlign w:val="center"/>
          </w:tcPr>
          <w:p>
            <w:r>
              <w:rPr>
                <w:sz w:val="15"/>
              </w:rPr>
              <w:t>Nitrogen</w:t>
            </w:r>
          </w:p>
        </w:tc>
        <w:tc>
          <w:tcPr>
            <w:tcW w:type="dxa" w:w="1461"/>
            <w:vAlign w:val="center"/>
          </w:tcPr>
          <w:p>
            <w:r>
              <w:rPr>
                <w:sz w:val="15"/>
              </w:rPr>
              <w:t>If applicable</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TBD</w:t>
            </w:r>
          </w:p>
        </w:tc>
        <w:tc>
          <w:tcPr>
            <w:tcW w:type="dxa" w:w="1461"/>
            <w:vAlign w:val="center"/>
          </w:tcPr>
          <w:p>
            <w:r>
              <w:rPr>
                <w:sz w:val="15"/>
              </w:rPr>
              <w:t>As applicable</w:t>
            </w:r>
          </w:p>
        </w:tc>
      </w:tr>
    </w:tbl>
    <w:p/>
    <w:p>
      <w:pPr>
        <w:pStyle w:val="Heading1"/>
      </w:pPr>
      <w:r>
        <w:t>35. Instrumentation and Calibration</w:t>
      </w:r>
    </w:p>
    <w:p>
      <w:pPr>
        <w:pStyle w:val="ListBullet"/>
      </w:pPr>
      <w:r>
        <w:t>Compression-force transducers.</w:t>
      </w:r>
    </w:p>
    <w:p>
      <w:pPr>
        <w:pStyle w:val="ListBullet"/>
      </w:pPr>
      <w:r>
        <w:t>Pre-compression force measurement.</w:t>
      </w:r>
    </w:p>
    <w:p>
      <w:pPr>
        <w:pStyle w:val="ListBullet"/>
      </w:pPr>
      <w:r>
        <w:t>Main compression force measurement.</w:t>
      </w:r>
    </w:p>
    <w:p>
      <w:pPr>
        <w:pStyle w:val="ListBullet"/>
      </w:pPr>
      <w:r>
        <w:t>Ejection-force measurement where applicable.</w:t>
      </w:r>
    </w:p>
    <w:p>
      <w:pPr>
        <w:pStyle w:val="ListBullet"/>
      </w:pPr>
      <w:r>
        <w:t>Turret-speed feedback.</w:t>
      </w:r>
    </w:p>
    <w:p>
      <w:pPr>
        <w:pStyle w:val="ListBullet"/>
      </w:pPr>
      <w:r>
        <w:t>Feeder-speed feedback.</w:t>
      </w:r>
    </w:p>
    <w:p>
      <w:pPr>
        <w:pStyle w:val="ListBullet"/>
      </w:pPr>
      <w:r>
        <w:t>Tablet-weight measurement where integrated.</w:t>
      </w:r>
    </w:p>
    <w:p>
      <w:pPr>
        <w:pStyle w:val="ListBullet"/>
      </w:pPr>
      <w:r>
        <w:t>Thickness measurement where integrated.</w:t>
      </w:r>
    </w:p>
    <w:p>
      <w:pPr>
        <w:pStyle w:val="ListBullet"/>
      </w:pPr>
      <w:r>
        <w:t>Hopper-level sensor where applicable.</w:t>
      </w:r>
    </w:p>
    <w:p>
      <w:pPr>
        <w:pStyle w:val="ListBullet"/>
      </w:pPr>
      <w:r>
        <w:t>Dust-extraction pressure/airflow measurement where required.</w:t>
      </w:r>
    </w:p>
    <w:p>
      <w:pPr>
        <w:pStyle w:val="ListBullet"/>
      </w:pPr>
      <w:r>
        <w:t>Reject confirmation sensor where required.</w:t>
      </w:r>
    </w:p>
    <w:p>
      <w:r>
        <w:t>For each critical instrument define range, accuracy, resolution, calibration requirement, GMP criticality, failure alarm and signal type. Critical instruments shall be calibrated/verified before qualification or GMP use.</w:t>
      </w:r>
    </w:p>
    <w:p>
      <w:pPr>
        <w:pStyle w:val="Heading1"/>
      </w:pPr>
      <w:r>
        <w:t>36. FAT Requirements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FAT Area</w:t>
            </w:r>
          </w:p>
        </w:tc>
        <w:tc>
          <w:tcPr>
            <w:tcW w:type="dxa" w:w="5112"/>
            <w:shd w:fill="D9EAF7"/>
          </w:tcPr>
          <w:p>
            <w:r>
              <w:rPr>
                <w:b/>
                <w:sz w:val="15"/>
              </w:rPr>
              <w:t>Tests</w:t>
            </w:r>
          </w:p>
        </w:tc>
      </w:tr>
      <w:tr>
        <w:tc>
          <w:tcPr>
            <w:tcW w:type="dxa" w:w="5112"/>
            <w:vAlign w:val="center"/>
          </w:tcPr>
          <w:p>
            <w:r>
              <w:rPr>
                <w:sz w:val="15"/>
              </w:rPr>
              <w:t>Mechanical</w:t>
            </w:r>
          </w:p>
        </w:tc>
        <w:tc>
          <w:tcPr>
            <w:tcW w:type="dxa" w:w="5112"/>
            <w:vAlign w:val="center"/>
          </w:tcPr>
          <w:p>
            <w:r>
              <w:rPr>
                <w:sz w:val="15"/>
              </w:rPr>
              <w:t>Materials, dimensions, guards, tooling access, turret, feeder, rollers, lubrication, vibration/noise where applicable.</w:t>
            </w:r>
          </w:p>
        </w:tc>
      </w:tr>
      <w:tr>
        <w:tc>
          <w:tcPr>
            <w:tcW w:type="dxa" w:w="5112"/>
            <w:vAlign w:val="center"/>
          </w:tcPr>
          <w:p>
            <w:r>
              <w:rPr>
                <w:sz w:val="15"/>
              </w:rPr>
              <w:t>Electrical</w:t>
            </w:r>
          </w:p>
        </w:tc>
        <w:tc>
          <w:tcPr>
            <w:tcW w:type="dxa" w:w="5112"/>
            <w:vAlign w:val="center"/>
          </w:tcPr>
          <w:p>
            <w:r>
              <w:rPr>
                <w:sz w:val="15"/>
              </w:rPr>
              <w:t>Panels, wiring, earthing, component identification and safety.</w:t>
            </w:r>
          </w:p>
        </w:tc>
      </w:tr>
      <w:tr>
        <w:tc>
          <w:tcPr>
            <w:tcW w:type="dxa" w:w="5112"/>
            <w:vAlign w:val="center"/>
          </w:tcPr>
          <w:p>
            <w:r>
              <w:rPr>
                <w:sz w:val="15"/>
              </w:rPr>
              <w:t>Tooling</w:t>
            </w:r>
          </w:p>
        </w:tc>
        <w:tc>
          <w:tcPr>
            <w:tcW w:type="dxa" w:w="5112"/>
            <w:vAlign w:val="center"/>
          </w:tcPr>
          <w:p>
            <w:r>
              <w:rPr>
                <w:sz w:val="15"/>
              </w:rPr>
              <w:t>Punch/die compatibility, installation, adjustment and changeover.</w:t>
            </w:r>
          </w:p>
        </w:tc>
      </w:tr>
      <w:tr>
        <w:tc>
          <w:tcPr>
            <w:tcW w:type="dxa" w:w="5112"/>
            <w:vAlign w:val="center"/>
          </w:tcPr>
          <w:p>
            <w:r>
              <w:rPr>
                <w:sz w:val="15"/>
              </w:rPr>
              <w:t>Feeder</w:t>
            </w:r>
          </w:p>
        </w:tc>
        <w:tc>
          <w:tcPr>
            <w:tcW w:type="dxa" w:w="5112"/>
            <w:vAlign w:val="center"/>
          </w:tcPr>
          <w:p>
            <w:r>
              <w:rPr>
                <w:sz w:val="15"/>
              </w:rPr>
              <w:t>Feeder speed, feed behavior, alarms and access.</w:t>
            </w:r>
          </w:p>
        </w:tc>
      </w:tr>
      <w:tr>
        <w:tc>
          <w:tcPr>
            <w:tcW w:type="dxa" w:w="5112"/>
            <w:vAlign w:val="center"/>
          </w:tcPr>
          <w:p>
            <w:r>
              <w:rPr>
                <w:sz w:val="15"/>
              </w:rPr>
              <w:t>Compression</w:t>
            </w:r>
          </w:p>
        </w:tc>
        <w:tc>
          <w:tcPr>
            <w:tcW w:type="dxa" w:w="5112"/>
            <w:vAlign w:val="center"/>
          </w:tcPr>
          <w:p>
            <w:r>
              <w:rPr>
                <w:sz w:val="15"/>
              </w:rPr>
              <w:t>Pre/main compression, force monitoring, protection and adjustment.</w:t>
            </w:r>
          </w:p>
        </w:tc>
      </w:tr>
      <w:tr>
        <w:tc>
          <w:tcPr>
            <w:tcW w:type="dxa" w:w="5112"/>
            <w:vAlign w:val="center"/>
          </w:tcPr>
          <w:p>
            <w:r>
              <w:rPr>
                <w:sz w:val="15"/>
              </w:rPr>
              <w:t>Weight control</w:t>
            </w:r>
          </w:p>
        </w:tc>
        <w:tc>
          <w:tcPr>
            <w:tcW w:type="dxa" w:w="5112"/>
            <w:vAlign w:val="center"/>
          </w:tcPr>
          <w:p>
            <w:r>
              <w:rPr>
                <w:sz w:val="15"/>
              </w:rPr>
              <w:t>Control function, limits, trend/data recording where applicable.</w:t>
            </w:r>
          </w:p>
        </w:tc>
      </w:tr>
      <w:tr>
        <w:tc>
          <w:tcPr>
            <w:tcW w:type="dxa" w:w="5112"/>
            <w:vAlign w:val="center"/>
          </w:tcPr>
          <w:p>
            <w:r>
              <w:rPr>
                <w:sz w:val="15"/>
              </w:rPr>
              <w:t>Reject</w:t>
            </w:r>
          </w:p>
        </w:tc>
        <w:tc>
          <w:tcPr>
            <w:tcW w:type="dxa" w:w="5112"/>
            <w:vAlign w:val="center"/>
          </w:tcPr>
          <w:p>
            <w:r>
              <w:rPr>
                <w:sz w:val="15"/>
              </w:rPr>
              <w:t>Criteria, confirmation, segregation, fail-safe behavior.</w:t>
            </w:r>
          </w:p>
        </w:tc>
      </w:tr>
      <w:tr>
        <w:tc>
          <w:tcPr>
            <w:tcW w:type="dxa" w:w="5112"/>
            <w:vAlign w:val="center"/>
          </w:tcPr>
          <w:p>
            <w:r>
              <w:rPr>
                <w:sz w:val="15"/>
              </w:rPr>
              <w:t>Automation</w:t>
            </w:r>
          </w:p>
        </w:tc>
        <w:tc>
          <w:tcPr>
            <w:tcW w:type="dxa" w:w="5112"/>
            <w:vAlign w:val="center"/>
          </w:tcPr>
          <w:p>
            <w:r>
              <w:rPr>
                <w:sz w:val="15"/>
              </w:rPr>
              <w:t>PLC, HMI, alarms, interlocks, recipes, trends and diagnostics.</w:t>
            </w:r>
          </w:p>
        </w:tc>
      </w:tr>
      <w:tr>
        <w:tc>
          <w:tcPr>
            <w:tcW w:type="dxa" w:w="5112"/>
            <w:vAlign w:val="center"/>
          </w:tcPr>
          <w:p>
            <w:r>
              <w:rPr>
                <w:sz w:val="15"/>
              </w:rPr>
              <w:t>CSV/Data Integrity</w:t>
            </w:r>
          </w:p>
        </w:tc>
        <w:tc>
          <w:tcPr>
            <w:tcW w:type="dxa" w:w="5112"/>
            <w:vAlign w:val="center"/>
          </w:tcPr>
          <w:p>
            <w:r>
              <w:rPr>
                <w:sz w:val="15"/>
              </w:rPr>
              <w:t>User access, audit trail, electronic signatures where applicable, backup/restore, time synchronization.</w:t>
            </w:r>
          </w:p>
        </w:tc>
      </w:tr>
      <w:tr>
        <w:tc>
          <w:tcPr>
            <w:tcW w:type="dxa" w:w="5112"/>
            <w:vAlign w:val="center"/>
          </w:tcPr>
          <w:p>
            <w:r>
              <w:rPr>
                <w:sz w:val="15"/>
              </w:rPr>
              <w:t>Interfaces</w:t>
            </w:r>
          </w:p>
        </w:tc>
        <w:tc>
          <w:tcPr>
            <w:tcW w:type="dxa" w:w="5112"/>
            <w:vAlign w:val="center"/>
          </w:tcPr>
          <w:p>
            <w:r>
              <w:rPr>
                <w:sz w:val="15"/>
              </w:rPr>
              <w:t>Deduster, metal detector, checkweigher, conveyor, SCADA/MES/eBR where applicable.</w:t>
            </w:r>
          </w:p>
        </w:tc>
      </w:tr>
      <w:tr>
        <w:tc>
          <w:tcPr>
            <w:tcW w:type="dxa" w:w="5112"/>
            <w:vAlign w:val="center"/>
          </w:tcPr>
          <w:p>
            <w:r>
              <w:rPr>
                <w:sz w:val="15"/>
              </w:rPr>
              <w:t>Cybersecurity</w:t>
            </w:r>
          </w:p>
        </w:tc>
        <w:tc>
          <w:tcPr>
            <w:tcW w:type="dxa" w:w="5112"/>
            <w:vAlign w:val="center"/>
          </w:tcPr>
          <w:p>
            <w:r>
              <w:rPr>
                <w:sz w:val="15"/>
              </w:rPr>
              <w:t>Accounts, remote access, hardening/configuration and backup controls as applicable.</w:t>
            </w:r>
          </w:p>
        </w:tc>
      </w:tr>
    </w:tbl>
    <w:p/>
    <w:p>
      <w:pPr>
        <w:pStyle w:val="Heading1"/>
      </w:pPr>
      <w:r>
        <w:t>37. SAT Requirements</w:t>
      </w:r>
    </w:p>
    <w:p>
      <w:pPr>
        <w:pStyle w:val="ListBullet"/>
      </w:pPr>
      <w:r>
        <w:t>Installation verification</w:t>
      </w:r>
    </w:p>
    <w:p>
      <w:pPr>
        <w:pStyle w:val="ListBullet"/>
      </w:pPr>
      <w:r>
        <w:t>Utility verification</w:t>
      </w:r>
    </w:p>
    <w:p>
      <w:pPr>
        <w:pStyle w:val="ListBullet"/>
      </w:pPr>
      <w:r>
        <w:t>Equipment identification</w:t>
      </w:r>
    </w:p>
    <w:p>
      <w:pPr>
        <w:pStyle w:val="ListBullet"/>
      </w:pPr>
      <w:r>
        <w:t>Site configuration</w:t>
      </w:r>
    </w:p>
    <w:p>
      <w:pPr>
        <w:pStyle w:val="ListBullet"/>
      </w:pPr>
      <w:r>
        <w:t>Network connection</w:t>
      </w:r>
    </w:p>
    <w:p>
      <w:pPr>
        <w:pStyle w:val="ListBullet"/>
      </w:pPr>
      <w:r>
        <w:t>PLC/HMI communication</w:t>
      </w:r>
    </w:p>
    <w:p>
      <w:pPr>
        <w:pStyle w:val="ListBullet"/>
      </w:pPr>
      <w:r>
        <w:t>Alarm verification</w:t>
      </w:r>
    </w:p>
    <w:p>
      <w:pPr>
        <w:pStyle w:val="ListBullet"/>
      </w:pPr>
      <w:r>
        <w:t>Safety verification</w:t>
      </w:r>
    </w:p>
    <w:p>
      <w:pPr>
        <w:pStyle w:val="ListBullet"/>
      </w:pPr>
      <w:r>
        <w:t>Downstream interfaces</w:t>
      </w:r>
    </w:p>
    <w:p>
      <w:pPr>
        <w:pStyle w:val="ListBullet"/>
      </w:pPr>
      <w:r>
        <w:t>Documentation verification</w:t>
      </w:r>
    </w:p>
    <w:p>
      <w:pPr>
        <w:pStyle w:val="Heading1"/>
      </w:pPr>
      <w:r>
        <w:t>38. IQ Requirements</w:t>
      </w:r>
    </w:p>
    <w:p>
      <w:pPr>
        <w:pStyle w:val="ListBullet"/>
      </w:pPr>
      <w:r>
        <w:t>Equipment identification</w:t>
      </w:r>
    </w:p>
    <w:p>
      <w:pPr>
        <w:pStyle w:val="ListBullet"/>
      </w:pPr>
      <w:r>
        <w:t>Components</w:t>
      </w:r>
    </w:p>
    <w:p>
      <w:pPr>
        <w:pStyle w:val="ListBullet"/>
      </w:pPr>
      <w:r>
        <w:t>Materials</w:t>
      </w:r>
    </w:p>
    <w:p>
      <w:pPr>
        <w:pStyle w:val="ListBullet"/>
      </w:pPr>
      <w:r>
        <w:t>Drawings</w:t>
      </w:r>
    </w:p>
    <w:p>
      <w:pPr>
        <w:pStyle w:val="ListBullet"/>
      </w:pPr>
      <w:r>
        <w:t>Manuals</w:t>
      </w:r>
    </w:p>
    <w:p>
      <w:pPr>
        <w:pStyle w:val="ListBullet"/>
      </w:pPr>
      <w:r>
        <w:t>Certificates</w:t>
      </w:r>
    </w:p>
    <w:p>
      <w:pPr>
        <w:pStyle w:val="ListBullet"/>
      </w:pPr>
      <w:r>
        <w:t>Utilities</w:t>
      </w:r>
    </w:p>
    <w:p>
      <w:pPr>
        <w:pStyle w:val="ListBullet"/>
      </w:pPr>
      <w:r>
        <w:t>Instrument calibration</w:t>
      </w:r>
    </w:p>
    <w:p>
      <w:pPr>
        <w:pStyle w:val="ListBullet"/>
      </w:pPr>
      <w:r>
        <w:t>Hardware/software versions</w:t>
      </w:r>
    </w:p>
    <w:p>
      <w:pPr>
        <w:pStyle w:val="ListBullet"/>
      </w:pPr>
      <w:r>
        <w:t>PLC/HMI configuration</w:t>
      </w:r>
    </w:p>
    <w:p>
      <w:pPr>
        <w:pStyle w:val="ListBullet"/>
      </w:pPr>
      <w:r>
        <w:t>Network architecture</w:t>
      </w:r>
    </w:p>
    <w:p>
      <w:pPr>
        <w:pStyle w:val="ListBullet"/>
      </w:pPr>
      <w:r>
        <w:t>Installation verification</w:t>
      </w:r>
    </w:p>
    <w:p>
      <w:pPr>
        <w:pStyle w:val="Heading1"/>
      </w:pPr>
      <w:r>
        <w:t>39. OQ Requirements</w:t>
      </w:r>
    </w:p>
    <w:p>
      <w:pPr>
        <w:pStyle w:val="ListBullet"/>
      </w:pPr>
      <w:r>
        <w:t>Operating ranges and setpoints.</w:t>
      </w:r>
    </w:p>
    <w:p>
      <w:pPr>
        <w:pStyle w:val="ListBullet"/>
      </w:pPr>
      <w:r>
        <w:t>Pre-compression and main-compression controls.</w:t>
      </w:r>
    </w:p>
    <w:p>
      <w:pPr>
        <w:pStyle w:val="ListBullet"/>
      </w:pPr>
      <w:r>
        <w:t>Force monitoring and high/low-force responses.</w:t>
      </w:r>
    </w:p>
    <w:p>
      <w:pPr>
        <w:pStyle w:val="ListBullet"/>
      </w:pPr>
      <w:r>
        <w:t>Feeder and turret controls.</w:t>
      </w:r>
    </w:p>
    <w:p>
      <w:pPr>
        <w:pStyle w:val="ListBullet"/>
      </w:pPr>
      <w:r>
        <w:t>Weight-control functionality where integrated.</w:t>
      </w:r>
    </w:p>
    <w:p>
      <w:pPr>
        <w:pStyle w:val="ListBullet"/>
      </w:pPr>
      <w:r>
        <w:t>Reject function.</w:t>
      </w:r>
    </w:p>
    <w:p>
      <w:pPr>
        <w:pStyle w:val="ListBullet"/>
      </w:pPr>
      <w:r>
        <w:t>Alarms and interlocks.</w:t>
      </w:r>
    </w:p>
    <w:p>
      <w:pPr>
        <w:pStyle w:val="ListBullet"/>
      </w:pPr>
      <w:r>
        <w:t>Recipe management.</w:t>
      </w:r>
    </w:p>
    <w:p>
      <w:pPr>
        <w:pStyle w:val="ListBullet"/>
      </w:pPr>
      <w:r>
        <w:t>User access.</w:t>
      </w:r>
    </w:p>
    <w:p>
      <w:pPr>
        <w:pStyle w:val="ListBullet"/>
      </w:pPr>
      <w:r>
        <w:t>Audit trail.</w:t>
      </w:r>
    </w:p>
    <w:p>
      <w:pPr>
        <w:pStyle w:val="ListBullet"/>
      </w:pPr>
      <w:r>
        <w:t>Electronic signatures where applicable.</w:t>
      </w:r>
    </w:p>
    <w:p>
      <w:pPr>
        <w:pStyle w:val="ListBullet"/>
      </w:pPr>
      <w:r>
        <w:t>Data recording and retrieval.</w:t>
      </w:r>
    </w:p>
    <w:p>
      <w:pPr>
        <w:pStyle w:val="ListBullet"/>
      </w:pPr>
      <w:r>
        <w:t>Backup/restore.</w:t>
      </w:r>
    </w:p>
    <w:p>
      <w:pPr>
        <w:pStyle w:val="ListBullet"/>
      </w:pPr>
      <w:r>
        <w:t>Sensor failure.</w:t>
      </w:r>
    </w:p>
    <w:p>
      <w:pPr>
        <w:pStyle w:val="ListBullet"/>
      </w:pPr>
      <w:r>
        <w:t>Communication failure.</w:t>
      </w:r>
    </w:p>
    <w:p>
      <w:pPr>
        <w:pStyle w:val="ListBullet"/>
      </w:pPr>
      <w:r>
        <w:t>Power failure/recovery.</w:t>
      </w:r>
    </w:p>
    <w:p>
      <w:pPr>
        <w:pStyle w:val="Heading1"/>
      </w:pPr>
      <w:r>
        <w:t>40. PQ Requirements</w:t>
      </w:r>
    </w:p>
    <w:p>
      <w:pPr>
        <w:pStyle w:val="ListBullet"/>
      </w:pPr>
      <w:r>
        <w:t>Representative approved product(s)</w:t>
      </w:r>
    </w:p>
    <w:p>
      <w:pPr>
        <w:pStyle w:val="ListBullet"/>
      </w:pPr>
      <w:r>
        <w:t>Approved tooling</w:t>
      </w:r>
    </w:p>
    <w:p>
      <w:pPr>
        <w:pStyle w:val="ListBullet"/>
      </w:pPr>
      <w:r>
        <w:t>Defined batch size(s)</w:t>
      </w:r>
    </w:p>
    <w:p>
      <w:pPr>
        <w:pStyle w:val="ListBullet"/>
      </w:pPr>
      <w:r>
        <w:t>Turret/feeder operating range</w:t>
      </w:r>
    </w:p>
    <w:p>
      <w:pPr>
        <w:pStyle w:val="ListBullet"/>
      </w:pPr>
      <w:r>
        <w:t>Compression force</w:t>
      </w:r>
    </w:p>
    <w:p>
      <w:pPr>
        <w:pStyle w:val="ListBullet"/>
      </w:pPr>
      <w:r>
        <w:t>Weight variation</w:t>
      </w:r>
    </w:p>
    <w:p>
      <w:pPr>
        <w:pStyle w:val="ListBullet"/>
      </w:pPr>
      <w:r>
        <w:t>Thickness</w:t>
      </w:r>
    </w:p>
    <w:p>
      <w:pPr>
        <w:pStyle w:val="ListBullet"/>
      </w:pPr>
      <w:r>
        <w:t>Hardness where applicable</w:t>
      </w:r>
    </w:p>
    <w:p>
      <w:pPr>
        <w:pStyle w:val="ListBullet"/>
      </w:pPr>
      <w:r>
        <w:t>Friability where applicable</w:t>
      </w:r>
    </w:p>
    <w:p>
      <w:pPr>
        <w:pStyle w:val="ListBullet"/>
      </w:pPr>
      <w:r>
        <w:t>Appearance</w:t>
      </w:r>
    </w:p>
    <w:p>
      <w:pPr>
        <w:pStyle w:val="ListBullet"/>
      </w:pPr>
      <w:r>
        <w:t>Defect rate</w:t>
      </w:r>
    </w:p>
    <w:p>
      <w:pPr>
        <w:pStyle w:val="ListBullet"/>
      </w:pPr>
      <w:r>
        <w:t>Yield</w:t>
      </w:r>
    </w:p>
    <w:p>
      <w:pPr>
        <w:pStyle w:val="ListBullet"/>
      </w:pPr>
      <w:r>
        <w:t>Reproducibility</w:t>
      </w:r>
    </w:p>
    <w:p>
      <w:r>
        <w:t>PQ acceptance criteria shall be based on approved product/process requirements and validation protocols. No arbitrary numerical product-quality limits shall be created in the URS.</w:t>
      </w:r>
    </w:p>
    <w:p>
      <w:pPr>
        <w:pStyle w:val="Heading1"/>
      </w:pPr>
      <w:r>
        <w:t>41. Documentation Requirements</w:t>
      </w:r>
    </w:p>
    <w:p>
      <w:pPr>
        <w:pStyle w:val="ListBullet"/>
      </w:pPr>
      <w:r>
        <w:t>GA drawing</w:t>
      </w:r>
    </w:p>
    <w:p>
      <w:pPr>
        <w:pStyle w:val="ListBullet"/>
      </w:pPr>
      <w:r>
        <w:t>P&amp;ID where applicable</w:t>
      </w:r>
    </w:p>
    <w:p>
      <w:pPr>
        <w:pStyle w:val="ListBullet"/>
      </w:pPr>
      <w:r>
        <w:t>Electrical drawings</w:t>
      </w:r>
    </w:p>
    <w:p>
      <w:pPr>
        <w:pStyle w:val="ListBullet"/>
      </w:pPr>
      <w:r>
        <w:t>Pneumatic drawings</w:t>
      </w:r>
    </w:p>
    <w:p>
      <w:pPr>
        <w:pStyle w:val="ListBullet"/>
      </w:pPr>
      <w:r>
        <w:t>Control philosophy</w:t>
      </w:r>
    </w:p>
    <w:p>
      <w:pPr>
        <w:pStyle w:val="ListBullet"/>
      </w:pPr>
      <w:r>
        <w:t>Functional specification</w:t>
      </w:r>
    </w:p>
    <w:p>
      <w:pPr>
        <w:pStyle w:val="ListBullet"/>
      </w:pPr>
      <w:r>
        <w:t>Software documentation</w:t>
      </w:r>
    </w:p>
    <w:p>
      <w:pPr>
        <w:pStyle w:val="ListBullet"/>
      </w:pPr>
      <w:r>
        <w:t>PLC backup</w:t>
      </w:r>
    </w:p>
    <w:p>
      <w:pPr>
        <w:pStyle w:val="ListBullet"/>
      </w:pPr>
      <w:r>
        <w:t>HMI backup</w:t>
      </w:r>
    </w:p>
    <w:p>
      <w:pPr>
        <w:pStyle w:val="ListBullet"/>
      </w:pPr>
      <w:r>
        <w:t>Software inventory</w:t>
      </w:r>
    </w:p>
    <w:p>
      <w:pPr>
        <w:pStyle w:val="ListBullet"/>
      </w:pPr>
      <w:r>
        <w:t>Hardware inventory</w:t>
      </w:r>
    </w:p>
    <w:p>
      <w:pPr>
        <w:pStyle w:val="ListBullet"/>
      </w:pPr>
      <w:r>
        <w:t>Network architecture</w:t>
      </w:r>
    </w:p>
    <w:p>
      <w:pPr>
        <w:pStyle w:val="ListBullet"/>
      </w:pPr>
      <w:r>
        <w:t>Operation manual</w:t>
      </w:r>
    </w:p>
    <w:p>
      <w:pPr>
        <w:pStyle w:val="ListBullet"/>
      </w:pPr>
      <w:r>
        <w:t>Maintenance manual</w:t>
      </w:r>
    </w:p>
    <w:p>
      <w:pPr>
        <w:pStyle w:val="ListBullet"/>
      </w:pPr>
      <w:r>
        <w:t>Spare-parts list</w:t>
      </w:r>
    </w:p>
    <w:p>
      <w:pPr>
        <w:pStyle w:val="ListBullet"/>
      </w:pPr>
      <w:r>
        <w:t>Calibration certificates</w:t>
      </w:r>
    </w:p>
    <w:p>
      <w:pPr>
        <w:pStyle w:val="ListBullet"/>
      </w:pPr>
      <w:r>
        <w:t>Material certificates</w:t>
      </w:r>
    </w:p>
    <w:p>
      <w:pPr>
        <w:pStyle w:val="ListBullet"/>
      </w:pPr>
      <w:r>
        <w:t>Tooling certificates</w:t>
      </w:r>
    </w:p>
    <w:p>
      <w:pPr>
        <w:pStyle w:val="ListBullet"/>
      </w:pPr>
      <w:r>
        <w:t>FAT/SAT reports</w:t>
      </w:r>
    </w:p>
    <w:p>
      <w:pPr>
        <w:pStyle w:val="ListBullet"/>
      </w:pPr>
      <w:r>
        <w:t>IQ/OQ documents</w:t>
      </w:r>
    </w:p>
    <w:p>
      <w:pPr>
        <w:pStyle w:val="ListBullet"/>
      </w:pPr>
      <w:r>
        <w:t>Cybersecurity documentation</w:t>
      </w:r>
    </w:p>
    <w:p>
      <w:pPr>
        <w:pStyle w:val="ListBullet"/>
      </w:pPr>
      <w:r>
        <w:t>Backup/restore procedure</w:t>
      </w:r>
    </w:p>
    <w:p>
      <w:pPr>
        <w:pStyle w:val="ListBullet"/>
      </w:pPr>
      <w:r>
        <w:t>Disaster-recovery documentation</w:t>
      </w:r>
    </w:p>
    <w:p>
      <w:pPr>
        <w:pStyle w:val="Heading1"/>
      </w:pPr>
      <w:r>
        <w:t>42. Training, Spare Parts and Maintenance</w:t>
      </w:r>
    </w:p>
    <w:p>
      <w:pPr>
        <w:pStyle w:val="ListBullet"/>
      </w:pPr>
      <w:r>
        <w:t>Vendor training for operators, supervisors, maintenance, engineering, automation, QA and CSV/IT as applicable.</w:t>
      </w:r>
    </w:p>
    <w:p>
      <w:pPr>
        <w:pStyle w:val="ListBullet"/>
      </w:pPr>
      <w:r>
        <w:t>Training records shall be maintained.</w:t>
      </w:r>
    </w:p>
    <w:p>
      <w:pPr>
        <w:pStyle w:val="ListBullet"/>
      </w:pPr>
      <w:r>
        <w:t>Critical and recommended spare parts shall be identified.</w:t>
      </w:r>
    </w:p>
    <w:p>
      <w:pPr>
        <w:pStyle w:val="ListBullet"/>
      </w:pPr>
      <w:r>
        <w:t>Preventive, predictive and corrective maintenance shall be defined.</w:t>
      </w:r>
    </w:p>
    <w:p>
      <w:pPr>
        <w:pStyle w:val="ListBullet"/>
      </w:pPr>
      <w:r>
        <w:t>Maintenance access shall be safe and practical.</w:t>
      </w:r>
    </w:p>
    <w:p>
      <w:pPr>
        <w:pStyle w:val="ListBullet"/>
      </w:pPr>
      <w:r>
        <w:t>Obsolescence and vendor support shall be assessed.</w:t>
      </w:r>
    </w:p>
    <w:p>
      <w:pPr>
        <w:pStyle w:val="ListBullet"/>
      </w:pPr>
      <w:r>
        <w:t>Changes affecting validated state shall be controlled.</w:t>
      </w:r>
    </w:p>
    <w:p>
      <w:pPr>
        <w:pStyle w:val="Heading1"/>
      </w:pPr>
      <w:r>
        <w:t>43. Change Control and Periodic Review</w:t>
      </w:r>
    </w:p>
    <w:p>
      <w:pPr>
        <w:pStyle w:val="ListBullet"/>
      </w:pPr>
      <w:r>
        <w:t>Hardware changes</w:t>
      </w:r>
    </w:p>
    <w:p>
      <w:pPr>
        <w:pStyle w:val="ListBullet"/>
      </w:pPr>
      <w:r>
        <w:t>PLC/HMI/software changes</w:t>
      </w:r>
    </w:p>
    <w:p>
      <w:pPr>
        <w:pStyle w:val="ListBullet"/>
      </w:pPr>
      <w:r>
        <w:t>Recipe changes</w:t>
      </w:r>
    </w:p>
    <w:p>
      <w:pPr>
        <w:pStyle w:val="ListBullet"/>
      </w:pPr>
      <w:r>
        <w:t>Compression-parameter changes</w:t>
      </w:r>
    </w:p>
    <w:p>
      <w:pPr>
        <w:pStyle w:val="ListBullet"/>
      </w:pPr>
      <w:r>
        <w:t>Instrument changes</w:t>
      </w:r>
    </w:p>
    <w:p>
      <w:pPr>
        <w:pStyle w:val="ListBullet"/>
      </w:pPr>
      <w:r>
        <w:t>Network/database/interface changes</w:t>
      </w:r>
    </w:p>
    <w:p>
      <w:pPr>
        <w:pStyle w:val="ListBullet"/>
      </w:pPr>
      <w:r>
        <w:t>Cybersecurity changes</w:t>
      </w:r>
    </w:p>
    <w:p>
      <w:r>
        <w:t>Periodic review shall assess validation status, user access, audit trail, security, backup/restore, software/hardware, deviations, changes, incidents, performance and obsolescence.</w:t>
      </w:r>
    </w:p>
    <w:p>
      <w:pPr>
        <w:pStyle w:val="Heading1"/>
      </w:pPr>
      <w:r>
        <w:t>44. Business Continuity / Disaster Recovery</w:t>
      </w:r>
    </w:p>
    <w:p>
      <w:pPr>
        <w:pStyle w:val="ListBullet"/>
      </w:pPr>
      <w:r>
        <w:t>Power failure</w:t>
      </w:r>
    </w:p>
    <w:p>
      <w:pPr>
        <w:pStyle w:val="ListBullet"/>
      </w:pPr>
      <w:r>
        <w:t>PLC failure</w:t>
      </w:r>
    </w:p>
    <w:p>
      <w:pPr>
        <w:pStyle w:val="ListBullet"/>
      </w:pPr>
      <w:r>
        <w:t>HMI failure</w:t>
      </w:r>
    </w:p>
    <w:p>
      <w:pPr>
        <w:pStyle w:val="ListBullet"/>
      </w:pPr>
      <w:r>
        <w:t>Server/database failure</w:t>
      </w:r>
    </w:p>
    <w:p>
      <w:pPr>
        <w:pStyle w:val="ListBullet"/>
      </w:pPr>
      <w:r>
        <w:t>Network failure</w:t>
      </w:r>
    </w:p>
    <w:p>
      <w:pPr>
        <w:pStyle w:val="ListBullet"/>
      </w:pPr>
      <w:r>
        <w:t>Data corruption</w:t>
      </w:r>
    </w:p>
    <w:p>
      <w:pPr>
        <w:pStyle w:val="ListBullet"/>
      </w:pPr>
      <w:r>
        <w:t>Hardware replacement</w:t>
      </w:r>
    </w:p>
    <w:p>
      <w:pPr>
        <w:pStyle w:val="ListBullet"/>
      </w:pPr>
      <w:r>
        <w:t>Backup restoration</w:t>
      </w:r>
    </w:p>
    <w:p>
      <w:pPr>
        <w:pStyle w:val="ListBullet"/>
      </w:pPr>
      <w:r>
        <w:t>Recovery time expectations based on business/GMP risk</w:t>
      </w:r>
    </w:p>
    <w:p>
      <w:pPr>
        <w:pStyle w:val="Heading1"/>
      </w:pPr>
      <w:r>
        <w:t>45. Deviation Management</w:t>
      </w:r>
    </w:p>
    <w:p>
      <w:pPr>
        <w:pStyle w:val="ListNumber"/>
      </w:pPr>
      <w:r>
        <w:t>Document the deviation.</w:t>
      </w:r>
    </w:p>
    <w:p>
      <w:pPr>
        <w:pStyle w:val="ListNumber"/>
      </w:pPr>
      <w:r>
        <w:t>Investigate and assess impact.</w:t>
      </w:r>
    </w:p>
    <w:p>
      <w:pPr>
        <w:pStyle w:val="ListNumber"/>
      </w:pPr>
      <w:r>
        <w:t>Perform risk assessment where appropriate.</w:t>
      </w:r>
    </w:p>
    <w:p>
      <w:pPr>
        <w:pStyle w:val="ListNumber"/>
      </w:pPr>
      <w:r>
        <w:t>Define correction/CAPA where required.</w:t>
      </w:r>
    </w:p>
    <w:p>
      <w:pPr>
        <w:pStyle w:val="ListNumber"/>
      </w:pPr>
      <w:r>
        <w:t>Obtain required approvals.</w:t>
      </w:r>
    </w:p>
    <w:p>
      <w:pPr>
        <w:pStyle w:val="ListNumber"/>
      </w:pPr>
      <w:r>
        <w:t>Verify closure/effectiveness.</w:t>
      </w:r>
    </w:p>
    <w:p>
      <w:pPr>
        <w:pStyle w:val="ListNumber"/>
      </w:pPr>
      <w:r>
        <w:t>Trend significant deviations where appropriate.</w:t>
      </w:r>
    </w:p>
    <w:p>
      <w:pPr>
        <w:pStyle w:val="Heading1"/>
      </w:pPr>
      <w:r>
        <w:t>46. Requirement Classification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Classification</w:t>
            </w:r>
          </w:p>
        </w:tc>
        <w:tc>
          <w:tcPr>
            <w:tcW w:type="dxa" w:w="5112"/>
            <w:shd w:fill="D9EAF7"/>
          </w:tcPr>
          <w:p>
            <w:r>
              <w:rPr>
                <w:b/>
                <w:sz w:val="15"/>
              </w:rPr>
              <w:t>Definition</w:t>
            </w:r>
          </w:p>
        </w:tc>
      </w:tr>
      <w:tr>
        <w:tc>
          <w:tcPr>
            <w:tcW w:type="dxa" w:w="5112"/>
            <w:vAlign w:val="center"/>
          </w:tcPr>
          <w:p>
            <w:r>
              <w:rPr>
                <w:sz w:val="15"/>
              </w:rPr>
              <w:t>Critical</w:t>
            </w:r>
          </w:p>
        </w:tc>
        <w:tc>
          <w:tcPr>
            <w:tcW w:type="dxa" w:w="5112"/>
            <w:vAlign w:val="center"/>
          </w:tcPr>
          <w:p>
            <w:r>
              <w:rPr>
                <w:sz w:val="15"/>
              </w:rPr>
              <w:t>Direct potential impact on product quality, patient safety, GMP compliance, critical process control or data integrity.</w:t>
            </w:r>
          </w:p>
        </w:tc>
      </w:tr>
      <w:tr>
        <w:tc>
          <w:tcPr>
            <w:tcW w:type="dxa" w:w="5112"/>
            <w:vAlign w:val="center"/>
          </w:tcPr>
          <w:p>
            <w:r>
              <w:rPr>
                <w:sz w:val="15"/>
              </w:rPr>
              <w:t>Major</w:t>
            </w:r>
          </w:p>
        </w:tc>
        <w:tc>
          <w:tcPr>
            <w:tcW w:type="dxa" w:w="5112"/>
            <w:vAlign w:val="center"/>
          </w:tcPr>
          <w:p>
            <w:r>
              <w:rPr>
                <w:sz w:val="15"/>
              </w:rPr>
              <w:t>Significant impact on operation, reliability, GMP or maintainability.</w:t>
            </w:r>
          </w:p>
        </w:tc>
      </w:tr>
      <w:tr>
        <w:tc>
          <w:tcPr>
            <w:tcW w:type="dxa" w:w="5112"/>
            <w:vAlign w:val="center"/>
          </w:tcPr>
          <w:p>
            <w:r>
              <w:rPr>
                <w:sz w:val="15"/>
              </w:rPr>
              <w:t>Minor</w:t>
            </w:r>
          </w:p>
        </w:tc>
        <w:tc>
          <w:tcPr>
            <w:tcW w:type="dxa" w:w="5112"/>
            <w:vAlign w:val="center"/>
          </w:tcPr>
          <w:p>
            <w:r>
              <w:rPr>
                <w:sz w:val="15"/>
              </w:rPr>
              <w:t>Limited impact with no significant direct GMP/product-quality impact.</w:t>
            </w:r>
          </w:p>
        </w:tc>
      </w:tr>
    </w:tbl>
    <w:p/>
    <w:p>
      <w:r>
        <w:t>The site may instead use GMP Critical / GMP Relevant / Non-GMP, provided the methodology is documented and consistently applied.</w:t>
      </w:r>
    </w:p>
    <w:p>
      <w:pPr>
        <w:pStyle w:val="Heading1"/>
      </w:pPr>
      <w:r>
        <w:t>47. Detailed URS Requirement Matrix – 120 Requirements</w:t>
      </w:r>
    </w:p>
    <w:tbl>
      <w:tblPr>
        <w:tblStyle w:val="TableGrid"/>
        <w:tblW w:type="auto" w:w="0"/>
        <w:jc w:val="center"/>
        <w:tblLook w:firstColumn="1" w:firstRow="1" w:lastColumn="0" w:lastRow="0" w:noHBand="0" w:noVBand="1" w:val="04A0"/>
      </w:tblPr>
      <w:tblGrid>
        <w:gridCol w:w="1136"/>
        <w:gridCol w:w="1136"/>
        <w:gridCol w:w="1136"/>
        <w:gridCol w:w="1136"/>
        <w:gridCol w:w="1136"/>
        <w:gridCol w:w="1136"/>
        <w:gridCol w:w="1136"/>
        <w:gridCol w:w="1136"/>
        <w:gridCol w:w="1136"/>
      </w:tblGrid>
      <w:tr>
        <w:trPr>
          <w:tblHeader w:val="true"/>
        </w:trPr>
        <w:tc>
          <w:tcPr>
            <w:tcW w:type="dxa" w:w="1136"/>
            <w:shd w:fill="D9EAF7"/>
          </w:tcPr>
          <w:p>
            <w:r>
              <w:rPr>
                <w:b/>
                <w:sz w:val="13"/>
              </w:rPr>
              <w:t>URS ID</w:t>
            </w:r>
          </w:p>
        </w:tc>
        <w:tc>
          <w:tcPr>
            <w:tcW w:type="dxa" w:w="1136"/>
            <w:shd w:fill="D9EAF7"/>
          </w:tcPr>
          <w:p>
            <w:r>
              <w:rPr>
                <w:b/>
                <w:sz w:val="13"/>
              </w:rPr>
              <w:t>Category</w:t>
            </w:r>
          </w:p>
        </w:tc>
        <w:tc>
          <w:tcPr>
            <w:tcW w:type="dxa" w:w="1136"/>
            <w:shd w:fill="D9EAF7"/>
          </w:tcPr>
          <w:p>
            <w:r>
              <w:rPr>
                <w:b/>
                <w:sz w:val="13"/>
              </w:rPr>
              <w:t>Requirement</w:t>
            </w:r>
          </w:p>
        </w:tc>
        <w:tc>
          <w:tcPr>
            <w:tcW w:type="dxa" w:w="1136"/>
            <w:shd w:fill="D9EAF7"/>
          </w:tcPr>
          <w:p>
            <w:r>
              <w:rPr>
                <w:b/>
                <w:sz w:val="13"/>
              </w:rPr>
              <w:t>Rationale</w:t>
            </w:r>
          </w:p>
        </w:tc>
        <w:tc>
          <w:tcPr>
            <w:tcW w:type="dxa" w:w="1136"/>
            <w:shd w:fill="D9EAF7"/>
          </w:tcPr>
          <w:p>
            <w:r>
              <w:rPr>
                <w:b/>
                <w:sz w:val="13"/>
              </w:rPr>
              <w:t>Criticality</w:t>
            </w:r>
          </w:p>
        </w:tc>
        <w:tc>
          <w:tcPr>
            <w:tcW w:type="dxa" w:w="1136"/>
            <w:shd w:fill="D9EAF7"/>
          </w:tcPr>
          <w:p>
            <w:r>
              <w:rPr>
                <w:b/>
                <w:sz w:val="13"/>
              </w:rPr>
              <w:t>Verification Method</w:t>
            </w:r>
          </w:p>
        </w:tc>
        <w:tc>
          <w:tcPr>
            <w:tcW w:type="dxa" w:w="1136"/>
            <w:shd w:fill="D9EAF7"/>
          </w:tcPr>
          <w:p>
            <w:r>
              <w:rPr>
                <w:b/>
                <w:sz w:val="13"/>
              </w:rPr>
              <w:t>Acceptance Criteria</w:t>
            </w:r>
          </w:p>
        </w:tc>
        <w:tc>
          <w:tcPr>
            <w:tcW w:type="dxa" w:w="1136"/>
            <w:shd w:fill="D9EAF7"/>
          </w:tcPr>
          <w:p>
            <w:r>
              <w:rPr>
                <w:b/>
                <w:sz w:val="13"/>
              </w:rPr>
              <w:t>Applicable Standard</w:t>
            </w:r>
          </w:p>
        </w:tc>
        <w:tc>
          <w:tcPr>
            <w:tcW w:type="dxa" w:w="1136"/>
            <w:shd w:fill="D9EAF7"/>
          </w:tcPr>
          <w:p>
            <w:r>
              <w:rPr>
                <w:b/>
                <w:sz w:val="13"/>
              </w:rPr>
              <w:t>Traceability</w:t>
            </w:r>
          </w:p>
        </w:tc>
      </w:tr>
      <w:tr>
        <w:tc>
          <w:tcPr>
            <w:tcW w:type="dxa" w:w="1136"/>
            <w:vAlign w:val="center"/>
          </w:tcPr>
          <w:p>
            <w:r>
              <w:rPr>
                <w:sz w:val="13"/>
              </w:rPr>
              <w:t>CM-URS-001</w:t>
            </w:r>
          </w:p>
        </w:tc>
        <w:tc>
          <w:tcPr>
            <w:tcW w:type="dxa" w:w="1136"/>
            <w:vAlign w:val="center"/>
          </w:tcPr>
          <w:p>
            <w:r>
              <w:rPr>
                <w:sz w:val="13"/>
              </w:rPr>
              <w:t>General</w:t>
            </w:r>
          </w:p>
        </w:tc>
        <w:tc>
          <w:tcPr>
            <w:tcW w:type="dxa" w:w="1136"/>
            <w:vAlign w:val="center"/>
          </w:tcPr>
          <w:p>
            <w:r>
              <w:rPr>
                <w:sz w:val="13"/>
              </w:rPr>
              <w:t>Machine shall be suitable for GMP pharmaceutical tablet compression.</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CM-URS-002</w:t>
            </w:r>
          </w:p>
        </w:tc>
        <w:tc>
          <w:tcPr>
            <w:tcW w:type="dxa" w:w="1136"/>
            <w:vAlign w:val="center"/>
          </w:tcPr>
          <w:p>
            <w:r>
              <w:rPr>
                <w:sz w:val="13"/>
              </w:rPr>
              <w:t>General</w:t>
            </w:r>
          </w:p>
        </w:tc>
        <w:tc>
          <w:tcPr>
            <w:tcW w:type="dxa" w:w="1136"/>
            <w:vAlign w:val="center"/>
          </w:tcPr>
          <w:p>
            <w:r>
              <w:rPr>
                <w:sz w:val="13"/>
              </w:rPr>
              <w:t>System boundaries and interfaces shall be documented.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CM-URS-003</w:t>
            </w:r>
          </w:p>
        </w:tc>
        <w:tc>
          <w:tcPr>
            <w:tcW w:type="dxa" w:w="1136"/>
            <w:vAlign w:val="center"/>
          </w:tcPr>
          <w:p>
            <w:r>
              <w:rPr>
                <w:sz w:val="13"/>
              </w:rPr>
              <w:t>General</w:t>
            </w:r>
          </w:p>
        </w:tc>
        <w:tc>
          <w:tcPr>
            <w:tcW w:type="dxa" w:w="1136"/>
            <w:vAlign w:val="center"/>
          </w:tcPr>
          <w:p>
            <w:r>
              <w:rPr>
                <w:sz w:val="13"/>
              </w:rPr>
              <w:t>Equipment shall support the approved product portfolio.</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CM-URS-004</w:t>
            </w:r>
          </w:p>
        </w:tc>
        <w:tc>
          <w:tcPr>
            <w:tcW w:type="dxa" w:w="1136"/>
            <w:vAlign w:val="center"/>
          </w:tcPr>
          <w:p>
            <w:r>
              <w:rPr>
                <w:sz w:val="13"/>
              </w:rPr>
              <w:t>General</w:t>
            </w:r>
          </w:p>
        </w:tc>
        <w:tc>
          <w:tcPr>
            <w:tcW w:type="dxa" w:w="1136"/>
            <w:vAlign w:val="center"/>
          </w:tcPr>
          <w:p>
            <w:r>
              <w:rPr>
                <w:sz w:val="13"/>
              </w:rPr>
              <w:t>Equipment shall be suitable for the intended duty cycle.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CM-URS-005</w:t>
            </w:r>
          </w:p>
        </w:tc>
        <w:tc>
          <w:tcPr>
            <w:tcW w:type="dxa" w:w="1136"/>
            <w:vAlign w:val="center"/>
          </w:tcPr>
          <w:p>
            <w:r>
              <w:rPr>
                <w:sz w:val="13"/>
              </w:rPr>
              <w:t>General</w:t>
            </w:r>
          </w:p>
        </w:tc>
        <w:tc>
          <w:tcPr>
            <w:tcW w:type="dxa" w:w="1136"/>
            <w:vAlign w:val="center"/>
          </w:tcPr>
          <w:p>
            <w:r>
              <w:rPr>
                <w:sz w:val="13"/>
              </w:rPr>
              <w:t>Vendor shall provide a rated and validated operating envelope.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CM-URS-006</w:t>
            </w:r>
          </w:p>
        </w:tc>
        <w:tc>
          <w:tcPr>
            <w:tcW w:type="dxa" w:w="1136"/>
            <w:vAlign w:val="center"/>
          </w:tcPr>
          <w:p>
            <w:r>
              <w:rPr>
                <w:sz w:val="13"/>
              </w:rPr>
              <w:t>General</w:t>
            </w:r>
          </w:p>
        </w:tc>
        <w:tc>
          <w:tcPr>
            <w:tcW w:type="dxa" w:w="1136"/>
            <w:vAlign w:val="center"/>
          </w:tcPr>
          <w:p>
            <w:r>
              <w:rPr>
                <w:sz w:val="13"/>
              </w:rPr>
              <w:t>Equipment identification shall be unique and traceable.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CM-URS-007</w:t>
            </w:r>
          </w:p>
        </w:tc>
        <w:tc>
          <w:tcPr>
            <w:tcW w:type="dxa" w:w="1136"/>
            <w:vAlign w:val="center"/>
          </w:tcPr>
          <w:p>
            <w:r>
              <w:rPr>
                <w:sz w:val="13"/>
              </w:rPr>
              <w:t>General</w:t>
            </w:r>
          </w:p>
        </w:tc>
        <w:tc>
          <w:tcPr>
            <w:tcW w:type="dxa" w:w="1136"/>
            <w:vAlign w:val="center"/>
          </w:tcPr>
          <w:p>
            <w:r>
              <w:rPr>
                <w:sz w:val="13"/>
              </w:rPr>
              <w:t>Critical components shall be identified.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CM-URS-008</w:t>
            </w:r>
          </w:p>
        </w:tc>
        <w:tc>
          <w:tcPr>
            <w:tcW w:type="dxa" w:w="1136"/>
            <w:vAlign w:val="center"/>
          </w:tcPr>
          <w:p>
            <w:r>
              <w:rPr>
                <w:sz w:val="13"/>
              </w:rPr>
              <w:t>General</w:t>
            </w:r>
          </w:p>
        </w:tc>
        <w:tc>
          <w:tcPr>
            <w:tcW w:type="dxa" w:w="1136"/>
            <w:vAlign w:val="center"/>
          </w:tcPr>
          <w:p>
            <w:r>
              <w:rPr>
                <w:sz w:val="13"/>
              </w:rPr>
              <w:t>Equipment shall be designed for maintainability.</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CM-URS-009</w:t>
            </w:r>
          </w:p>
        </w:tc>
        <w:tc>
          <w:tcPr>
            <w:tcW w:type="dxa" w:w="1136"/>
            <w:vAlign w:val="center"/>
          </w:tcPr>
          <w:p>
            <w:r>
              <w:rPr>
                <w:sz w:val="13"/>
              </w:rPr>
              <w:t>General</w:t>
            </w:r>
          </w:p>
        </w:tc>
        <w:tc>
          <w:tcPr>
            <w:tcW w:type="dxa" w:w="1136"/>
            <w:vAlign w:val="center"/>
          </w:tcPr>
          <w:p>
            <w:r>
              <w:rPr>
                <w:sz w:val="13"/>
              </w:rPr>
              <w:t>Equipment shall minimize product-retention areas.</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CM-URS-010</w:t>
            </w:r>
          </w:p>
        </w:tc>
        <w:tc>
          <w:tcPr>
            <w:tcW w:type="dxa" w:w="1136"/>
            <w:vAlign w:val="center"/>
          </w:tcPr>
          <w:p>
            <w:r>
              <w:rPr>
                <w:sz w:val="13"/>
              </w:rPr>
              <w:t>General</w:t>
            </w:r>
          </w:p>
        </w:tc>
        <w:tc>
          <w:tcPr>
            <w:tcW w:type="dxa" w:w="1136"/>
            <w:vAlign w:val="center"/>
          </w:tcPr>
          <w:p>
            <w:r>
              <w:rPr>
                <w:sz w:val="13"/>
              </w:rPr>
              <w:t>Equipment shall support safe operation and maintenance.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CM-URS-011</w:t>
            </w:r>
          </w:p>
        </w:tc>
        <w:tc>
          <w:tcPr>
            <w:tcW w:type="dxa" w:w="1136"/>
            <w:vAlign w:val="center"/>
          </w:tcPr>
          <w:p>
            <w:r>
              <w:rPr>
                <w:sz w:val="13"/>
              </w:rPr>
              <w:t>Capacity/Process</w:t>
            </w:r>
          </w:p>
        </w:tc>
        <w:tc>
          <w:tcPr>
            <w:tcW w:type="dxa" w:w="1136"/>
            <w:vAlign w:val="center"/>
          </w:tcPr>
          <w:p>
            <w:r>
              <w:rPr>
                <w:sz w:val="13"/>
              </w:rPr>
              <w:t>Minimum batch size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CM-URS-012</w:t>
            </w:r>
          </w:p>
        </w:tc>
        <w:tc>
          <w:tcPr>
            <w:tcW w:type="dxa" w:w="1136"/>
            <w:vAlign w:val="center"/>
          </w:tcPr>
          <w:p>
            <w:r>
              <w:rPr>
                <w:sz w:val="13"/>
              </w:rPr>
              <w:t>Capacity/Process</w:t>
            </w:r>
          </w:p>
        </w:tc>
        <w:tc>
          <w:tcPr>
            <w:tcW w:type="dxa" w:w="1136"/>
            <w:vAlign w:val="center"/>
          </w:tcPr>
          <w:p>
            <w:r>
              <w:rPr>
                <w:sz w:val="13"/>
              </w:rPr>
              <w:t>Maximum batch size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CM-URS-013</w:t>
            </w:r>
          </w:p>
        </w:tc>
        <w:tc>
          <w:tcPr>
            <w:tcW w:type="dxa" w:w="1136"/>
            <w:vAlign w:val="center"/>
          </w:tcPr>
          <w:p>
            <w:r>
              <w:rPr>
                <w:sz w:val="13"/>
              </w:rPr>
              <w:t>Capacity/Process</w:t>
            </w:r>
          </w:p>
        </w:tc>
        <w:tc>
          <w:tcPr>
            <w:tcW w:type="dxa" w:w="1136"/>
            <w:vAlign w:val="center"/>
          </w:tcPr>
          <w:p>
            <w:r>
              <w:rPr>
                <w:sz w:val="13"/>
              </w:rPr>
              <w:t>Nominal operating capacity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CM-URS-014</w:t>
            </w:r>
          </w:p>
        </w:tc>
        <w:tc>
          <w:tcPr>
            <w:tcW w:type="dxa" w:w="1136"/>
            <w:vAlign w:val="center"/>
          </w:tcPr>
          <w:p>
            <w:r>
              <w:rPr>
                <w:sz w:val="13"/>
              </w:rPr>
              <w:t>Capacity/Process</w:t>
            </w:r>
          </w:p>
        </w:tc>
        <w:tc>
          <w:tcPr>
            <w:tcW w:type="dxa" w:w="1136"/>
            <w:vAlign w:val="center"/>
          </w:tcPr>
          <w:p>
            <w:r>
              <w:rPr>
                <w:sz w:val="13"/>
              </w:rPr>
              <w:t>Output range shall be vendor-stated and justified.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CM-URS-015</w:t>
            </w:r>
          </w:p>
        </w:tc>
        <w:tc>
          <w:tcPr>
            <w:tcW w:type="dxa" w:w="1136"/>
            <w:vAlign w:val="center"/>
          </w:tcPr>
          <w:p>
            <w:r>
              <w:rPr>
                <w:sz w:val="13"/>
              </w:rPr>
              <w:t>Capacity/Process</w:t>
            </w:r>
          </w:p>
        </w:tc>
        <w:tc>
          <w:tcPr>
            <w:tcW w:type="dxa" w:w="1136"/>
            <w:vAlign w:val="center"/>
          </w:tcPr>
          <w:p>
            <w:r>
              <w:rPr>
                <w:sz w:val="13"/>
              </w:rPr>
              <w:t>Number of stations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CM-URS-016</w:t>
            </w:r>
          </w:p>
        </w:tc>
        <w:tc>
          <w:tcPr>
            <w:tcW w:type="dxa" w:w="1136"/>
            <w:vAlign w:val="center"/>
          </w:tcPr>
          <w:p>
            <w:r>
              <w:rPr>
                <w:sz w:val="13"/>
              </w:rPr>
              <w:t>Capacity/Process</w:t>
            </w:r>
          </w:p>
        </w:tc>
        <w:tc>
          <w:tcPr>
            <w:tcW w:type="dxa" w:w="1136"/>
            <w:vAlign w:val="center"/>
          </w:tcPr>
          <w:p>
            <w:r>
              <w:rPr>
                <w:sz w:val="13"/>
              </w:rPr>
              <w:t>Tooling configuration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CM-URS-017</w:t>
            </w:r>
          </w:p>
        </w:tc>
        <w:tc>
          <w:tcPr>
            <w:tcW w:type="dxa" w:w="1136"/>
            <w:vAlign w:val="center"/>
          </w:tcPr>
          <w:p>
            <w:r>
              <w:rPr>
                <w:sz w:val="13"/>
              </w:rPr>
              <w:t>Capacity/Process</w:t>
            </w:r>
          </w:p>
        </w:tc>
        <w:tc>
          <w:tcPr>
            <w:tcW w:type="dxa" w:w="1136"/>
            <w:vAlign w:val="center"/>
          </w:tcPr>
          <w:p>
            <w:r>
              <w:rPr>
                <w:sz w:val="13"/>
              </w:rPr>
              <w:t>Tablet-size range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CM-URS-018</w:t>
            </w:r>
          </w:p>
        </w:tc>
        <w:tc>
          <w:tcPr>
            <w:tcW w:type="dxa" w:w="1136"/>
            <w:vAlign w:val="center"/>
          </w:tcPr>
          <w:p>
            <w:r>
              <w:rPr>
                <w:sz w:val="13"/>
              </w:rPr>
              <w:t>Capacity/Process</w:t>
            </w:r>
          </w:p>
        </w:tc>
        <w:tc>
          <w:tcPr>
            <w:tcW w:type="dxa" w:w="1136"/>
            <w:vAlign w:val="center"/>
          </w:tcPr>
          <w:p>
            <w:r>
              <w:rPr>
                <w:sz w:val="13"/>
              </w:rPr>
              <w:t>Fill-depth capability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CM-URS-019</w:t>
            </w:r>
          </w:p>
        </w:tc>
        <w:tc>
          <w:tcPr>
            <w:tcW w:type="dxa" w:w="1136"/>
            <w:vAlign w:val="center"/>
          </w:tcPr>
          <w:p>
            <w:r>
              <w:rPr>
                <w:sz w:val="13"/>
              </w:rPr>
              <w:t>Capacity/Process</w:t>
            </w:r>
          </w:p>
        </w:tc>
        <w:tc>
          <w:tcPr>
            <w:tcW w:type="dxa" w:w="1136"/>
            <w:vAlign w:val="center"/>
          </w:tcPr>
          <w:p>
            <w:r>
              <w:rPr>
                <w:sz w:val="13"/>
              </w:rPr>
              <w:t>Pre-compression capability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CM-URS-020</w:t>
            </w:r>
          </w:p>
        </w:tc>
        <w:tc>
          <w:tcPr>
            <w:tcW w:type="dxa" w:w="1136"/>
            <w:vAlign w:val="center"/>
          </w:tcPr>
          <w:p>
            <w:r>
              <w:rPr>
                <w:sz w:val="13"/>
              </w:rPr>
              <w:t>Capacity/Process</w:t>
            </w:r>
          </w:p>
        </w:tc>
        <w:tc>
          <w:tcPr>
            <w:tcW w:type="dxa" w:w="1136"/>
            <w:vAlign w:val="center"/>
          </w:tcPr>
          <w:p>
            <w:r>
              <w:rPr>
                <w:sz w:val="13"/>
              </w:rPr>
              <w:t>Main-compression capability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CM-URS-021</w:t>
            </w:r>
          </w:p>
        </w:tc>
        <w:tc>
          <w:tcPr>
            <w:tcW w:type="dxa" w:w="1136"/>
            <w:vAlign w:val="center"/>
          </w:tcPr>
          <w:p>
            <w:r>
              <w:rPr>
                <w:sz w:val="13"/>
              </w:rPr>
              <w:t>Mechanical/Tooling</w:t>
            </w:r>
          </w:p>
        </w:tc>
        <w:tc>
          <w:tcPr>
            <w:tcW w:type="dxa" w:w="1136"/>
            <w:vAlign w:val="center"/>
          </w:tcPr>
          <w:p>
            <w:r>
              <w:rPr>
                <w:sz w:val="13"/>
              </w:rPr>
              <w:t>Turret shall be suitable for intended operating range.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CM-URS-022</w:t>
            </w:r>
          </w:p>
        </w:tc>
        <w:tc>
          <w:tcPr>
            <w:tcW w:type="dxa" w:w="1136"/>
            <w:vAlign w:val="center"/>
          </w:tcPr>
          <w:p>
            <w:r>
              <w:rPr>
                <w:sz w:val="13"/>
              </w:rPr>
              <w:t>Mechanical/Tooling</w:t>
            </w:r>
          </w:p>
        </w:tc>
        <w:tc>
          <w:tcPr>
            <w:tcW w:type="dxa" w:w="1136"/>
            <w:vAlign w:val="center"/>
          </w:tcPr>
          <w:p>
            <w:r>
              <w:rPr>
                <w:sz w:val="13"/>
              </w:rPr>
              <w:t>Punch guides shall be maintainable and inspectable.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CM-URS-023</w:t>
            </w:r>
          </w:p>
        </w:tc>
        <w:tc>
          <w:tcPr>
            <w:tcW w:type="dxa" w:w="1136"/>
            <w:vAlign w:val="center"/>
          </w:tcPr>
          <w:p>
            <w:r>
              <w:rPr>
                <w:sz w:val="13"/>
              </w:rPr>
              <w:t>Mechanical/Tooling</w:t>
            </w:r>
          </w:p>
        </w:tc>
        <w:tc>
          <w:tcPr>
            <w:tcW w:type="dxa" w:w="1136"/>
            <w:vAlign w:val="center"/>
          </w:tcPr>
          <w:p>
            <w:r>
              <w:rPr>
                <w:sz w:val="13"/>
              </w:rPr>
              <w:t>Compression rollers shall support required force range.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CM-URS-024</w:t>
            </w:r>
          </w:p>
        </w:tc>
        <w:tc>
          <w:tcPr>
            <w:tcW w:type="dxa" w:w="1136"/>
            <w:vAlign w:val="center"/>
          </w:tcPr>
          <w:p>
            <w:r>
              <w:rPr>
                <w:sz w:val="13"/>
              </w:rPr>
              <w:t>Mechanical/Tooling</w:t>
            </w:r>
          </w:p>
        </w:tc>
        <w:tc>
          <w:tcPr>
            <w:tcW w:type="dxa" w:w="1136"/>
            <w:vAlign w:val="center"/>
          </w:tcPr>
          <w:p>
            <w:r>
              <w:rPr>
                <w:sz w:val="13"/>
              </w:rPr>
              <w:t>Cam tracks shall be suitable for intended tooling.</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CM-URS-025</w:t>
            </w:r>
          </w:p>
        </w:tc>
        <w:tc>
          <w:tcPr>
            <w:tcW w:type="dxa" w:w="1136"/>
            <w:vAlign w:val="center"/>
          </w:tcPr>
          <w:p>
            <w:r>
              <w:rPr>
                <w:sz w:val="13"/>
              </w:rPr>
              <w:t>Mechanical/Tooling</w:t>
            </w:r>
          </w:p>
        </w:tc>
        <w:tc>
          <w:tcPr>
            <w:tcW w:type="dxa" w:w="1136"/>
            <w:vAlign w:val="center"/>
          </w:tcPr>
          <w:p>
            <w:r>
              <w:rPr>
                <w:sz w:val="13"/>
              </w:rPr>
              <w:t>Tooling shall be uniquely identifiable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CM-URS-026</w:t>
            </w:r>
          </w:p>
        </w:tc>
        <w:tc>
          <w:tcPr>
            <w:tcW w:type="dxa" w:w="1136"/>
            <w:vAlign w:val="center"/>
          </w:tcPr>
          <w:p>
            <w:r>
              <w:rPr>
                <w:sz w:val="13"/>
              </w:rPr>
              <w:t>Mechanical/Tooling</w:t>
            </w:r>
          </w:p>
        </w:tc>
        <w:tc>
          <w:tcPr>
            <w:tcW w:type="dxa" w:w="1136"/>
            <w:vAlign w:val="center"/>
          </w:tcPr>
          <w:p>
            <w:r>
              <w:rPr>
                <w:sz w:val="13"/>
              </w:rPr>
              <w:t>Tooling material shall be suitable for product/duty cycle.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CM-URS-027</w:t>
            </w:r>
          </w:p>
        </w:tc>
        <w:tc>
          <w:tcPr>
            <w:tcW w:type="dxa" w:w="1136"/>
            <w:vAlign w:val="center"/>
          </w:tcPr>
          <w:p>
            <w:r>
              <w:rPr>
                <w:sz w:val="13"/>
              </w:rPr>
              <w:t>Mechanical/Tooling</w:t>
            </w:r>
          </w:p>
        </w:tc>
        <w:tc>
          <w:tcPr>
            <w:tcW w:type="dxa" w:w="1136"/>
            <w:vAlign w:val="center"/>
          </w:tcPr>
          <w:p>
            <w:r>
              <w:rPr>
                <w:sz w:val="13"/>
              </w:rPr>
              <w:t>Tooling inspection shall be supported.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CM-URS-028</w:t>
            </w:r>
          </w:p>
        </w:tc>
        <w:tc>
          <w:tcPr>
            <w:tcW w:type="dxa" w:w="1136"/>
            <w:vAlign w:val="center"/>
          </w:tcPr>
          <w:p>
            <w:r>
              <w:rPr>
                <w:sz w:val="13"/>
              </w:rPr>
              <w:t>Mechanical/Tooling</w:t>
            </w:r>
          </w:p>
        </w:tc>
        <w:tc>
          <w:tcPr>
            <w:tcW w:type="dxa" w:w="1136"/>
            <w:vAlign w:val="center"/>
          </w:tcPr>
          <w:p>
            <w:r>
              <w:rPr>
                <w:sz w:val="13"/>
              </w:rPr>
              <w:t>Tooling storage shall prevent mix-up/damage.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CM-URS-029</w:t>
            </w:r>
          </w:p>
        </w:tc>
        <w:tc>
          <w:tcPr>
            <w:tcW w:type="dxa" w:w="1136"/>
            <w:vAlign w:val="center"/>
          </w:tcPr>
          <w:p>
            <w:r>
              <w:rPr>
                <w:sz w:val="13"/>
              </w:rPr>
              <w:t>Mechanical/Tooling</w:t>
            </w:r>
          </w:p>
        </w:tc>
        <w:tc>
          <w:tcPr>
            <w:tcW w:type="dxa" w:w="1136"/>
            <w:vAlign w:val="center"/>
          </w:tcPr>
          <w:p>
            <w:r>
              <w:rPr>
                <w:sz w:val="13"/>
              </w:rPr>
              <w:t>Tooling changeover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CM-URS-030</w:t>
            </w:r>
          </w:p>
        </w:tc>
        <w:tc>
          <w:tcPr>
            <w:tcW w:type="dxa" w:w="1136"/>
            <w:vAlign w:val="center"/>
          </w:tcPr>
          <w:p>
            <w:r>
              <w:rPr>
                <w:sz w:val="13"/>
              </w:rPr>
              <w:t>Mechanical/Tooling</w:t>
            </w:r>
          </w:p>
        </w:tc>
        <w:tc>
          <w:tcPr>
            <w:tcW w:type="dxa" w:w="1136"/>
            <w:vAlign w:val="center"/>
          </w:tcPr>
          <w:p>
            <w:r>
              <w:rPr>
                <w:sz w:val="13"/>
              </w:rPr>
              <w:t>Product-contact components shall be cleanable.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CM-URS-031</w:t>
            </w:r>
          </w:p>
        </w:tc>
        <w:tc>
          <w:tcPr>
            <w:tcW w:type="dxa" w:w="1136"/>
            <w:vAlign w:val="center"/>
          </w:tcPr>
          <w:p>
            <w:r>
              <w:rPr>
                <w:sz w:val="13"/>
              </w:rPr>
              <w:t>Feeding/Compression</w:t>
            </w:r>
          </w:p>
        </w:tc>
        <w:tc>
          <w:tcPr>
            <w:tcW w:type="dxa" w:w="1136"/>
            <w:vAlign w:val="center"/>
          </w:tcPr>
          <w:p>
            <w:r>
              <w:rPr>
                <w:sz w:val="13"/>
              </w:rPr>
              <w:t>Hopper shall support consistent feeding.</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CM-URS-032</w:t>
            </w:r>
          </w:p>
        </w:tc>
        <w:tc>
          <w:tcPr>
            <w:tcW w:type="dxa" w:w="1136"/>
            <w:vAlign w:val="center"/>
          </w:tcPr>
          <w:p>
            <w:r>
              <w:rPr>
                <w:sz w:val="13"/>
              </w:rPr>
              <w:t>Feeding/Compression</w:t>
            </w:r>
          </w:p>
        </w:tc>
        <w:tc>
          <w:tcPr>
            <w:tcW w:type="dxa" w:w="1136"/>
            <w:vAlign w:val="center"/>
          </w:tcPr>
          <w:p>
            <w:r>
              <w:rPr>
                <w:sz w:val="13"/>
              </w:rPr>
              <w:t>Force feeder shall support reproducible die filling.</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CM-URS-033</w:t>
            </w:r>
          </w:p>
        </w:tc>
        <w:tc>
          <w:tcPr>
            <w:tcW w:type="dxa" w:w="1136"/>
            <w:vAlign w:val="center"/>
          </w:tcPr>
          <w:p>
            <w:r>
              <w:rPr>
                <w:sz w:val="13"/>
              </w:rPr>
              <w:t>Feeding/Compression</w:t>
            </w:r>
          </w:p>
        </w:tc>
        <w:tc>
          <w:tcPr>
            <w:tcW w:type="dxa" w:w="1136"/>
            <w:vAlign w:val="center"/>
          </w:tcPr>
          <w:p>
            <w:r>
              <w:rPr>
                <w:sz w:val="13"/>
              </w:rPr>
              <w:t>Feeder speed shall be controllable.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CM-URS-034</w:t>
            </w:r>
          </w:p>
        </w:tc>
        <w:tc>
          <w:tcPr>
            <w:tcW w:type="dxa" w:w="1136"/>
            <w:vAlign w:val="center"/>
          </w:tcPr>
          <w:p>
            <w:r>
              <w:rPr>
                <w:sz w:val="13"/>
              </w:rPr>
              <w:t>Feeding/Compression</w:t>
            </w:r>
          </w:p>
        </w:tc>
        <w:tc>
          <w:tcPr>
            <w:tcW w:type="dxa" w:w="1136"/>
            <w:vAlign w:val="center"/>
          </w:tcPr>
          <w:p>
            <w:r>
              <w:rPr>
                <w:sz w:val="13"/>
              </w:rPr>
              <w:t>Feeder speed shall be monitored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CM-URS-035</w:t>
            </w:r>
          </w:p>
        </w:tc>
        <w:tc>
          <w:tcPr>
            <w:tcW w:type="dxa" w:w="1136"/>
            <w:vAlign w:val="center"/>
          </w:tcPr>
          <w:p>
            <w:r>
              <w:rPr>
                <w:sz w:val="13"/>
              </w:rPr>
              <w:t>Feeding/Compression</w:t>
            </w:r>
          </w:p>
        </w:tc>
        <w:tc>
          <w:tcPr>
            <w:tcW w:type="dxa" w:w="1136"/>
            <w:vAlign w:val="center"/>
          </w:tcPr>
          <w:p>
            <w:r>
              <w:rPr>
                <w:sz w:val="13"/>
              </w:rPr>
              <w:t>Feeder failure shall be detected.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CM-URS-036</w:t>
            </w:r>
          </w:p>
        </w:tc>
        <w:tc>
          <w:tcPr>
            <w:tcW w:type="dxa" w:w="1136"/>
            <w:vAlign w:val="center"/>
          </w:tcPr>
          <w:p>
            <w:r>
              <w:rPr>
                <w:sz w:val="13"/>
              </w:rPr>
              <w:t>Feeding/Compression</w:t>
            </w:r>
          </w:p>
        </w:tc>
        <w:tc>
          <w:tcPr>
            <w:tcW w:type="dxa" w:w="1136"/>
            <w:vAlign w:val="center"/>
          </w:tcPr>
          <w:p>
            <w:r>
              <w:rPr>
                <w:sz w:val="13"/>
              </w:rPr>
              <w:t>Segregation risk shall be minimized.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CM-URS-037</w:t>
            </w:r>
          </w:p>
        </w:tc>
        <w:tc>
          <w:tcPr>
            <w:tcW w:type="dxa" w:w="1136"/>
            <w:vAlign w:val="center"/>
          </w:tcPr>
          <w:p>
            <w:r>
              <w:rPr>
                <w:sz w:val="13"/>
              </w:rPr>
              <w:t>Feeding/Compression</w:t>
            </w:r>
          </w:p>
        </w:tc>
        <w:tc>
          <w:tcPr>
            <w:tcW w:type="dxa" w:w="1136"/>
            <w:vAlign w:val="center"/>
          </w:tcPr>
          <w:p>
            <w:r>
              <w:rPr>
                <w:sz w:val="13"/>
              </w:rPr>
              <w:t>Bridging risk shall be minimized where practicable.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CM-URS-038</w:t>
            </w:r>
          </w:p>
        </w:tc>
        <w:tc>
          <w:tcPr>
            <w:tcW w:type="dxa" w:w="1136"/>
            <w:vAlign w:val="center"/>
          </w:tcPr>
          <w:p>
            <w:r>
              <w:rPr>
                <w:sz w:val="13"/>
              </w:rPr>
              <w:t>Feeding/Compression</w:t>
            </w:r>
          </w:p>
        </w:tc>
        <w:tc>
          <w:tcPr>
            <w:tcW w:type="dxa" w:w="1136"/>
            <w:vAlign w:val="center"/>
          </w:tcPr>
          <w:p>
            <w:r>
              <w:rPr>
                <w:sz w:val="13"/>
              </w:rPr>
              <w:t>Pre-compression force shall be monitored where applicable.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CM-URS-039</w:t>
            </w:r>
          </w:p>
        </w:tc>
        <w:tc>
          <w:tcPr>
            <w:tcW w:type="dxa" w:w="1136"/>
            <w:vAlign w:val="center"/>
          </w:tcPr>
          <w:p>
            <w:r>
              <w:rPr>
                <w:sz w:val="13"/>
              </w:rPr>
              <w:t>Feeding/Compression</w:t>
            </w:r>
          </w:p>
        </w:tc>
        <w:tc>
          <w:tcPr>
            <w:tcW w:type="dxa" w:w="1136"/>
            <w:vAlign w:val="center"/>
          </w:tcPr>
          <w:p>
            <w:r>
              <w:rPr>
                <w:sz w:val="13"/>
              </w:rPr>
              <w:t>Main compression force shall be monitored.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CM-URS-040</w:t>
            </w:r>
          </w:p>
        </w:tc>
        <w:tc>
          <w:tcPr>
            <w:tcW w:type="dxa" w:w="1136"/>
            <w:vAlign w:val="center"/>
          </w:tcPr>
          <w:p>
            <w:r>
              <w:rPr>
                <w:sz w:val="13"/>
              </w:rPr>
              <w:t>Feeding/Compression</w:t>
            </w:r>
          </w:p>
        </w:tc>
        <w:tc>
          <w:tcPr>
            <w:tcW w:type="dxa" w:w="1136"/>
            <w:vAlign w:val="center"/>
          </w:tcPr>
          <w:p>
            <w:r>
              <w:rPr>
                <w:sz w:val="13"/>
              </w:rPr>
              <w:t>High-force protection shall be provided.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CM-URS-041</w:t>
            </w:r>
          </w:p>
        </w:tc>
        <w:tc>
          <w:tcPr>
            <w:tcW w:type="dxa" w:w="1136"/>
            <w:vAlign w:val="center"/>
          </w:tcPr>
          <w:p>
            <w:r>
              <w:rPr>
                <w:sz w:val="13"/>
              </w:rPr>
              <w:t>Force/Weight/Quality</w:t>
            </w:r>
          </w:p>
        </w:tc>
        <w:tc>
          <w:tcPr>
            <w:tcW w:type="dxa" w:w="1136"/>
            <w:vAlign w:val="center"/>
          </w:tcPr>
          <w:p>
            <w:r>
              <w:rPr>
                <w:sz w:val="13"/>
              </w:rPr>
              <w:t>Low/abnormal compression force shall be detected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CM-URS-042</w:t>
            </w:r>
          </w:p>
        </w:tc>
        <w:tc>
          <w:tcPr>
            <w:tcW w:type="dxa" w:w="1136"/>
            <w:vAlign w:val="center"/>
          </w:tcPr>
          <w:p>
            <w:r>
              <w:rPr>
                <w:sz w:val="13"/>
              </w:rPr>
              <w:t>Force/Weight/Quality</w:t>
            </w:r>
          </w:p>
        </w:tc>
        <w:tc>
          <w:tcPr>
            <w:tcW w:type="dxa" w:w="1136"/>
            <w:vAlign w:val="center"/>
          </w:tcPr>
          <w:p>
            <w:r>
              <w:rPr>
                <w:sz w:val="13"/>
              </w:rPr>
              <w:t>Force trends shall be available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CM-URS-043</w:t>
            </w:r>
          </w:p>
        </w:tc>
        <w:tc>
          <w:tcPr>
            <w:tcW w:type="dxa" w:w="1136"/>
            <w:vAlign w:val="center"/>
          </w:tcPr>
          <w:p>
            <w:r>
              <w:rPr>
                <w:sz w:val="13"/>
              </w:rPr>
              <w:t>Force/Weight/Quality</w:t>
            </w:r>
          </w:p>
        </w:tc>
        <w:tc>
          <w:tcPr>
            <w:tcW w:type="dxa" w:w="1136"/>
            <w:vAlign w:val="center"/>
          </w:tcPr>
          <w:p>
            <w:r>
              <w:rPr>
                <w:sz w:val="13"/>
              </w:rPr>
              <w:t>Critical force data shall be recorded where GMP-relevant.</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CM-URS-044</w:t>
            </w:r>
          </w:p>
        </w:tc>
        <w:tc>
          <w:tcPr>
            <w:tcW w:type="dxa" w:w="1136"/>
            <w:vAlign w:val="center"/>
          </w:tcPr>
          <w:p>
            <w:r>
              <w:rPr>
                <w:sz w:val="13"/>
              </w:rPr>
              <w:t>Force/Weight/Quality</w:t>
            </w:r>
          </w:p>
        </w:tc>
        <w:tc>
          <w:tcPr>
            <w:tcW w:type="dxa" w:w="1136"/>
            <w:vAlign w:val="center"/>
          </w:tcPr>
          <w:p>
            <w:r>
              <w:rPr>
                <w:sz w:val="13"/>
              </w:rPr>
              <w:t>Force transducers shall be calibrated.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CM-URS-045</w:t>
            </w:r>
          </w:p>
        </w:tc>
        <w:tc>
          <w:tcPr>
            <w:tcW w:type="dxa" w:w="1136"/>
            <w:vAlign w:val="center"/>
          </w:tcPr>
          <w:p>
            <w:r>
              <w:rPr>
                <w:sz w:val="13"/>
              </w:rPr>
              <w:t>Force/Weight/Quality</w:t>
            </w:r>
          </w:p>
        </w:tc>
        <w:tc>
          <w:tcPr>
            <w:tcW w:type="dxa" w:w="1136"/>
            <w:vAlign w:val="center"/>
          </w:tcPr>
          <w:p>
            <w:r>
              <w:rPr>
                <w:sz w:val="13"/>
              </w:rPr>
              <w:t>Automatic weight control shall be provided if specified.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CM-URS-046</w:t>
            </w:r>
          </w:p>
        </w:tc>
        <w:tc>
          <w:tcPr>
            <w:tcW w:type="dxa" w:w="1136"/>
            <w:vAlign w:val="center"/>
          </w:tcPr>
          <w:p>
            <w:r>
              <w:rPr>
                <w:sz w:val="13"/>
              </w:rPr>
              <w:t>Force/Weight/Quality</w:t>
            </w:r>
          </w:p>
        </w:tc>
        <w:tc>
          <w:tcPr>
            <w:tcW w:type="dxa" w:w="1136"/>
            <w:vAlign w:val="center"/>
          </w:tcPr>
          <w:p>
            <w:r>
              <w:rPr>
                <w:sz w:val="13"/>
              </w:rPr>
              <w:t>Fill-depth adjustment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CM-URS-047</w:t>
            </w:r>
          </w:p>
        </w:tc>
        <w:tc>
          <w:tcPr>
            <w:tcW w:type="dxa" w:w="1136"/>
            <w:vAlign w:val="center"/>
          </w:tcPr>
          <w:p>
            <w:r>
              <w:rPr>
                <w:sz w:val="13"/>
              </w:rPr>
              <w:t>Force/Weight/Quality</w:t>
            </w:r>
          </w:p>
        </w:tc>
        <w:tc>
          <w:tcPr>
            <w:tcW w:type="dxa" w:w="1136"/>
            <w:vAlign w:val="center"/>
          </w:tcPr>
          <w:p>
            <w:r>
              <w:rPr>
                <w:sz w:val="13"/>
              </w:rPr>
              <w:t>Weight limits shall be access controlled.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CM-URS-048</w:t>
            </w:r>
          </w:p>
        </w:tc>
        <w:tc>
          <w:tcPr>
            <w:tcW w:type="dxa" w:w="1136"/>
            <w:vAlign w:val="center"/>
          </w:tcPr>
          <w:p>
            <w:r>
              <w:rPr>
                <w:sz w:val="13"/>
              </w:rPr>
              <w:t>Force/Weight/Quality</w:t>
            </w:r>
          </w:p>
        </w:tc>
        <w:tc>
          <w:tcPr>
            <w:tcW w:type="dxa" w:w="1136"/>
            <w:vAlign w:val="center"/>
          </w:tcPr>
          <w:p>
            <w:r>
              <w:rPr>
                <w:sz w:val="13"/>
              </w:rPr>
              <w:t>Weight-control data shall be retrievable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CM-URS-049</w:t>
            </w:r>
          </w:p>
        </w:tc>
        <w:tc>
          <w:tcPr>
            <w:tcW w:type="dxa" w:w="1136"/>
            <w:vAlign w:val="center"/>
          </w:tcPr>
          <w:p>
            <w:r>
              <w:rPr>
                <w:sz w:val="13"/>
              </w:rPr>
              <w:t>Force/Weight/Quality</w:t>
            </w:r>
          </w:p>
        </w:tc>
        <w:tc>
          <w:tcPr>
            <w:tcW w:type="dxa" w:w="1136"/>
            <w:vAlign w:val="center"/>
          </w:tcPr>
          <w:p>
            <w:r>
              <w:rPr>
                <w:sz w:val="13"/>
              </w:rPr>
              <w:t>Thickness monitoring shall be supported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CM-URS-050</w:t>
            </w:r>
          </w:p>
        </w:tc>
        <w:tc>
          <w:tcPr>
            <w:tcW w:type="dxa" w:w="1136"/>
            <w:vAlign w:val="center"/>
          </w:tcPr>
          <w:p>
            <w:r>
              <w:rPr>
                <w:sz w:val="13"/>
              </w:rPr>
              <w:t>Force/Weight/Quality</w:t>
            </w:r>
          </w:p>
        </w:tc>
        <w:tc>
          <w:tcPr>
            <w:tcW w:type="dxa" w:w="1136"/>
            <w:vAlign w:val="center"/>
          </w:tcPr>
          <w:p>
            <w:r>
              <w:rPr>
                <w:sz w:val="13"/>
              </w:rPr>
              <w:t>Hardness monitoring shall be treated as IPC/QC unless integrated by design.</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CM-URS-051</w:t>
            </w:r>
          </w:p>
        </w:tc>
        <w:tc>
          <w:tcPr>
            <w:tcW w:type="dxa" w:w="1136"/>
            <w:vAlign w:val="center"/>
          </w:tcPr>
          <w:p>
            <w:r>
              <w:rPr>
                <w:sz w:val="13"/>
              </w:rPr>
              <w:t>Reject/Interfaces</w:t>
            </w:r>
          </w:p>
        </w:tc>
        <w:tc>
          <w:tcPr>
            <w:tcW w:type="dxa" w:w="1136"/>
            <w:vAlign w:val="center"/>
          </w:tcPr>
          <w:p>
            <w:r>
              <w:rPr>
                <w:sz w:val="13"/>
              </w:rPr>
              <w:t>Automatic rejection shall be provided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CM-URS-052</w:t>
            </w:r>
          </w:p>
        </w:tc>
        <w:tc>
          <w:tcPr>
            <w:tcW w:type="dxa" w:w="1136"/>
            <w:vAlign w:val="center"/>
          </w:tcPr>
          <w:p>
            <w:r>
              <w:rPr>
                <w:sz w:val="13"/>
              </w:rPr>
              <w:t>Reject/Interfaces</w:t>
            </w:r>
          </w:p>
        </w:tc>
        <w:tc>
          <w:tcPr>
            <w:tcW w:type="dxa" w:w="1136"/>
            <w:vAlign w:val="center"/>
          </w:tcPr>
          <w:p>
            <w:r>
              <w:rPr>
                <w:sz w:val="13"/>
              </w:rPr>
              <w:t>Reject criteria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CM-URS-053</w:t>
            </w:r>
          </w:p>
        </w:tc>
        <w:tc>
          <w:tcPr>
            <w:tcW w:type="dxa" w:w="1136"/>
            <w:vAlign w:val="center"/>
          </w:tcPr>
          <w:p>
            <w:r>
              <w:rPr>
                <w:sz w:val="13"/>
              </w:rPr>
              <w:t>Reject/Interfaces</w:t>
            </w:r>
          </w:p>
        </w:tc>
        <w:tc>
          <w:tcPr>
            <w:tcW w:type="dxa" w:w="1136"/>
            <w:vAlign w:val="center"/>
          </w:tcPr>
          <w:p>
            <w:r>
              <w:rPr>
                <w:sz w:val="13"/>
              </w:rPr>
              <w:t>Reject confirmation shall be provided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CM-URS-054</w:t>
            </w:r>
          </w:p>
        </w:tc>
        <w:tc>
          <w:tcPr>
            <w:tcW w:type="dxa" w:w="1136"/>
            <w:vAlign w:val="center"/>
          </w:tcPr>
          <w:p>
            <w:r>
              <w:rPr>
                <w:sz w:val="13"/>
              </w:rPr>
              <w:t>Reject/Interfaces</w:t>
            </w:r>
          </w:p>
        </w:tc>
        <w:tc>
          <w:tcPr>
            <w:tcW w:type="dxa" w:w="1136"/>
            <w:vAlign w:val="center"/>
          </w:tcPr>
          <w:p>
            <w:r>
              <w:rPr>
                <w:sz w:val="13"/>
              </w:rPr>
              <w:t>Accepted and rejected product shall be segregated.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CM-URS-055</w:t>
            </w:r>
          </w:p>
        </w:tc>
        <w:tc>
          <w:tcPr>
            <w:tcW w:type="dxa" w:w="1136"/>
            <w:vAlign w:val="center"/>
          </w:tcPr>
          <w:p>
            <w:r>
              <w:rPr>
                <w:sz w:val="13"/>
              </w:rPr>
              <w:t>Reject/Interfaces</w:t>
            </w:r>
          </w:p>
        </w:tc>
        <w:tc>
          <w:tcPr>
            <w:tcW w:type="dxa" w:w="1136"/>
            <w:vAlign w:val="center"/>
          </w:tcPr>
          <w:p>
            <w:r>
              <w:rPr>
                <w:sz w:val="13"/>
              </w:rPr>
              <w:t>Reject-bin-full alarm shall be provided where applicable.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CM-URS-056</w:t>
            </w:r>
          </w:p>
        </w:tc>
        <w:tc>
          <w:tcPr>
            <w:tcW w:type="dxa" w:w="1136"/>
            <w:vAlign w:val="center"/>
          </w:tcPr>
          <w:p>
            <w:r>
              <w:rPr>
                <w:sz w:val="13"/>
              </w:rPr>
              <w:t>Reject/Interfaces</w:t>
            </w:r>
          </w:p>
        </w:tc>
        <w:tc>
          <w:tcPr>
            <w:tcW w:type="dxa" w:w="1136"/>
            <w:vAlign w:val="center"/>
          </w:tcPr>
          <w:p>
            <w:r>
              <w:rPr>
                <w:sz w:val="13"/>
              </w:rPr>
              <w:t>Reject events shall be recorded where GMP-relevant.</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CM-URS-057</w:t>
            </w:r>
          </w:p>
        </w:tc>
        <w:tc>
          <w:tcPr>
            <w:tcW w:type="dxa" w:w="1136"/>
            <w:vAlign w:val="center"/>
          </w:tcPr>
          <w:p>
            <w:r>
              <w:rPr>
                <w:sz w:val="13"/>
              </w:rPr>
              <w:t>Reject/Interfaces</w:t>
            </w:r>
          </w:p>
        </w:tc>
        <w:tc>
          <w:tcPr>
            <w:tcW w:type="dxa" w:w="1136"/>
            <w:vAlign w:val="center"/>
          </w:tcPr>
          <w:p>
            <w:r>
              <w:rPr>
                <w:sz w:val="13"/>
              </w:rPr>
              <w:t>Reject failure shall have defined safe behavior.</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CM-URS-058</w:t>
            </w:r>
          </w:p>
        </w:tc>
        <w:tc>
          <w:tcPr>
            <w:tcW w:type="dxa" w:w="1136"/>
            <w:vAlign w:val="center"/>
          </w:tcPr>
          <w:p>
            <w:r>
              <w:rPr>
                <w:sz w:val="13"/>
              </w:rPr>
              <w:t>Reject/Interfaces</w:t>
            </w:r>
          </w:p>
        </w:tc>
        <w:tc>
          <w:tcPr>
            <w:tcW w:type="dxa" w:w="1136"/>
            <w:vAlign w:val="center"/>
          </w:tcPr>
          <w:p>
            <w:r>
              <w:rPr>
                <w:sz w:val="13"/>
              </w:rPr>
              <w:t>Deduster interface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CM-URS-059</w:t>
            </w:r>
          </w:p>
        </w:tc>
        <w:tc>
          <w:tcPr>
            <w:tcW w:type="dxa" w:w="1136"/>
            <w:vAlign w:val="center"/>
          </w:tcPr>
          <w:p>
            <w:r>
              <w:rPr>
                <w:sz w:val="13"/>
              </w:rPr>
              <w:t>Reject/Interfaces</w:t>
            </w:r>
          </w:p>
        </w:tc>
        <w:tc>
          <w:tcPr>
            <w:tcW w:type="dxa" w:w="1136"/>
            <w:vAlign w:val="center"/>
          </w:tcPr>
          <w:p>
            <w:r>
              <w:rPr>
                <w:sz w:val="13"/>
              </w:rPr>
              <w:t>Metal-detector interface shall be defined.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CM-URS-060</w:t>
            </w:r>
          </w:p>
        </w:tc>
        <w:tc>
          <w:tcPr>
            <w:tcW w:type="dxa" w:w="1136"/>
            <w:vAlign w:val="center"/>
          </w:tcPr>
          <w:p>
            <w:r>
              <w:rPr>
                <w:sz w:val="13"/>
              </w:rPr>
              <w:t>Reject/Interfaces</w:t>
            </w:r>
          </w:p>
        </w:tc>
        <w:tc>
          <w:tcPr>
            <w:tcW w:type="dxa" w:w="1136"/>
            <w:vAlign w:val="center"/>
          </w:tcPr>
          <w:p>
            <w:r>
              <w:rPr>
                <w:sz w:val="13"/>
              </w:rPr>
              <w:t>Checkweigher/conveyor interface shall be defined where applicable.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CM-URS-061</w:t>
            </w:r>
          </w:p>
        </w:tc>
        <w:tc>
          <w:tcPr>
            <w:tcW w:type="dxa" w:w="1136"/>
            <w:vAlign w:val="center"/>
          </w:tcPr>
          <w:p>
            <w:r>
              <w:rPr>
                <w:sz w:val="13"/>
              </w:rPr>
              <w:t>Dust/Safety</w:t>
            </w:r>
          </w:p>
        </w:tc>
        <w:tc>
          <w:tcPr>
            <w:tcW w:type="dxa" w:w="1136"/>
            <w:vAlign w:val="center"/>
          </w:tcPr>
          <w:p>
            <w:r>
              <w:rPr>
                <w:sz w:val="13"/>
              </w:rPr>
              <w:t>Dust extraction shall meet engineering requirements.</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CM-URS-062</w:t>
            </w:r>
          </w:p>
        </w:tc>
        <w:tc>
          <w:tcPr>
            <w:tcW w:type="dxa" w:w="1136"/>
            <w:vAlign w:val="center"/>
          </w:tcPr>
          <w:p>
            <w:r>
              <w:rPr>
                <w:sz w:val="13"/>
              </w:rPr>
              <w:t>Dust/Safety</w:t>
            </w:r>
          </w:p>
        </w:tc>
        <w:tc>
          <w:tcPr>
            <w:tcW w:type="dxa" w:w="1136"/>
            <w:vAlign w:val="center"/>
          </w:tcPr>
          <w:p>
            <w:r>
              <w:rPr>
                <w:sz w:val="13"/>
              </w:rPr>
              <w:t>Dust-extraction failure shall be detected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CM-URS-063</w:t>
            </w:r>
          </w:p>
        </w:tc>
        <w:tc>
          <w:tcPr>
            <w:tcW w:type="dxa" w:w="1136"/>
            <w:vAlign w:val="center"/>
          </w:tcPr>
          <w:p>
            <w:r>
              <w:rPr>
                <w:sz w:val="13"/>
              </w:rPr>
              <w:t>Dust/Safety</w:t>
            </w:r>
          </w:p>
        </w:tc>
        <w:tc>
          <w:tcPr>
            <w:tcW w:type="dxa" w:w="1136"/>
            <w:vAlign w:val="center"/>
          </w:tcPr>
          <w:p>
            <w:r>
              <w:rPr>
                <w:sz w:val="13"/>
              </w:rPr>
              <w:t>Containment shall be based on product hazard assessment.</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CM-URS-064</w:t>
            </w:r>
          </w:p>
        </w:tc>
        <w:tc>
          <w:tcPr>
            <w:tcW w:type="dxa" w:w="1136"/>
            <w:vAlign w:val="center"/>
          </w:tcPr>
          <w:p>
            <w:r>
              <w:rPr>
                <w:sz w:val="13"/>
              </w:rPr>
              <w:t>Dust/Safety</w:t>
            </w:r>
          </w:p>
        </w:tc>
        <w:tc>
          <w:tcPr>
            <w:tcW w:type="dxa" w:w="1136"/>
            <w:vAlign w:val="center"/>
          </w:tcPr>
          <w:p>
            <w:r>
              <w:rPr>
                <w:sz w:val="13"/>
              </w:rPr>
              <w:t>Guards shall protect personnel.</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CM-URS-065</w:t>
            </w:r>
          </w:p>
        </w:tc>
        <w:tc>
          <w:tcPr>
            <w:tcW w:type="dxa" w:w="1136"/>
            <w:vAlign w:val="center"/>
          </w:tcPr>
          <w:p>
            <w:r>
              <w:rPr>
                <w:sz w:val="13"/>
              </w:rPr>
              <w:t>Dust/Safety</w:t>
            </w:r>
          </w:p>
        </w:tc>
        <w:tc>
          <w:tcPr>
            <w:tcW w:type="dxa" w:w="1136"/>
            <w:vAlign w:val="center"/>
          </w:tcPr>
          <w:p>
            <w:r>
              <w:rPr>
                <w:sz w:val="13"/>
              </w:rPr>
              <w:t>Emergency stop shall be provided.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CM-URS-066</w:t>
            </w:r>
          </w:p>
        </w:tc>
        <w:tc>
          <w:tcPr>
            <w:tcW w:type="dxa" w:w="1136"/>
            <w:vAlign w:val="center"/>
          </w:tcPr>
          <w:p>
            <w:r>
              <w:rPr>
                <w:sz w:val="13"/>
              </w:rPr>
              <w:t>Dust/Safety</w:t>
            </w:r>
          </w:p>
        </w:tc>
        <w:tc>
          <w:tcPr>
            <w:tcW w:type="dxa" w:w="1136"/>
            <w:vAlign w:val="center"/>
          </w:tcPr>
          <w:p>
            <w:r>
              <w:rPr>
                <w:sz w:val="13"/>
              </w:rPr>
              <w:t>Door/guard interlocks shall be provided.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CM-URS-067</w:t>
            </w:r>
          </w:p>
        </w:tc>
        <w:tc>
          <w:tcPr>
            <w:tcW w:type="dxa" w:w="1136"/>
            <w:vAlign w:val="center"/>
          </w:tcPr>
          <w:p>
            <w:r>
              <w:rPr>
                <w:sz w:val="13"/>
              </w:rPr>
              <w:t>Dust/Safety</w:t>
            </w:r>
          </w:p>
        </w:tc>
        <w:tc>
          <w:tcPr>
            <w:tcW w:type="dxa" w:w="1136"/>
            <w:vAlign w:val="center"/>
          </w:tcPr>
          <w:p>
            <w:r>
              <w:rPr>
                <w:sz w:val="13"/>
              </w:rPr>
              <w:t>Turret protection shall be provided.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CM-URS-068</w:t>
            </w:r>
          </w:p>
        </w:tc>
        <w:tc>
          <w:tcPr>
            <w:tcW w:type="dxa" w:w="1136"/>
            <w:vAlign w:val="center"/>
          </w:tcPr>
          <w:p>
            <w:r>
              <w:rPr>
                <w:sz w:val="13"/>
              </w:rPr>
              <w:t>Dust/Safety</w:t>
            </w:r>
          </w:p>
        </w:tc>
        <w:tc>
          <w:tcPr>
            <w:tcW w:type="dxa" w:w="1136"/>
            <w:vAlign w:val="center"/>
          </w:tcPr>
          <w:p>
            <w:r>
              <w:rPr>
                <w:sz w:val="13"/>
              </w:rPr>
              <w:t>Motor/drive overload protection shall be provided.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CM-URS-069</w:t>
            </w:r>
          </w:p>
        </w:tc>
        <w:tc>
          <w:tcPr>
            <w:tcW w:type="dxa" w:w="1136"/>
            <w:vAlign w:val="center"/>
          </w:tcPr>
          <w:p>
            <w:r>
              <w:rPr>
                <w:sz w:val="13"/>
              </w:rPr>
              <w:t>Dust/Safety</w:t>
            </w:r>
          </w:p>
        </w:tc>
        <w:tc>
          <w:tcPr>
            <w:tcW w:type="dxa" w:w="1136"/>
            <w:vAlign w:val="center"/>
          </w:tcPr>
          <w:p>
            <w:r>
              <w:rPr>
                <w:sz w:val="13"/>
              </w:rPr>
              <w:t>High-force protection shall be provided.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CM-URS-070</w:t>
            </w:r>
          </w:p>
        </w:tc>
        <w:tc>
          <w:tcPr>
            <w:tcW w:type="dxa" w:w="1136"/>
            <w:vAlign w:val="center"/>
          </w:tcPr>
          <w:p>
            <w:r>
              <w:rPr>
                <w:sz w:val="13"/>
              </w:rPr>
              <w:t>Dust/Safety</w:t>
            </w:r>
          </w:p>
        </w:tc>
        <w:tc>
          <w:tcPr>
            <w:tcW w:type="dxa" w:w="1136"/>
            <w:vAlign w:val="center"/>
          </w:tcPr>
          <w:p>
            <w:r>
              <w:rPr>
                <w:sz w:val="13"/>
              </w:rPr>
              <w:t>Fire/explosion protection shall be assessed where applicable.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CM-URS-071</w:t>
            </w:r>
          </w:p>
        </w:tc>
        <w:tc>
          <w:tcPr>
            <w:tcW w:type="dxa" w:w="1136"/>
            <w:vAlign w:val="center"/>
          </w:tcPr>
          <w:p>
            <w:r>
              <w:rPr>
                <w:sz w:val="13"/>
              </w:rPr>
              <w:t>Automation/HMI</w:t>
            </w:r>
          </w:p>
        </w:tc>
        <w:tc>
          <w:tcPr>
            <w:tcW w:type="dxa" w:w="1136"/>
            <w:vAlign w:val="center"/>
          </w:tcPr>
          <w:p>
            <w:r>
              <w:rPr>
                <w:sz w:val="13"/>
              </w:rPr>
              <w:t>PLC shall execute approved control logic.</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CM-URS-072</w:t>
            </w:r>
          </w:p>
        </w:tc>
        <w:tc>
          <w:tcPr>
            <w:tcW w:type="dxa" w:w="1136"/>
            <w:vAlign w:val="center"/>
          </w:tcPr>
          <w:p>
            <w:r>
              <w:rPr>
                <w:sz w:val="13"/>
              </w:rPr>
              <w:t>Automation/HMI</w:t>
            </w:r>
          </w:p>
        </w:tc>
        <w:tc>
          <w:tcPr>
            <w:tcW w:type="dxa" w:w="1136"/>
            <w:vAlign w:val="center"/>
          </w:tcPr>
          <w:p>
            <w:r>
              <w:rPr>
                <w:sz w:val="13"/>
              </w:rPr>
              <w:t>HMI shall display machine status.</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CM-URS-073</w:t>
            </w:r>
          </w:p>
        </w:tc>
        <w:tc>
          <w:tcPr>
            <w:tcW w:type="dxa" w:w="1136"/>
            <w:vAlign w:val="center"/>
          </w:tcPr>
          <w:p>
            <w:r>
              <w:rPr>
                <w:sz w:val="13"/>
              </w:rPr>
              <w:t>Automation/HMI</w:t>
            </w:r>
          </w:p>
        </w:tc>
        <w:tc>
          <w:tcPr>
            <w:tcW w:type="dxa" w:w="1136"/>
            <w:vAlign w:val="center"/>
          </w:tcPr>
          <w:p>
            <w:r>
              <w:rPr>
                <w:sz w:val="13"/>
              </w:rPr>
              <w:t>HMI shall display actual values.</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CM-URS-074</w:t>
            </w:r>
          </w:p>
        </w:tc>
        <w:tc>
          <w:tcPr>
            <w:tcW w:type="dxa" w:w="1136"/>
            <w:vAlign w:val="center"/>
          </w:tcPr>
          <w:p>
            <w:r>
              <w:rPr>
                <w:sz w:val="13"/>
              </w:rPr>
              <w:t>Automation/HMI</w:t>
            </w:r>
          </w:p>
        </w:tc>
        <w:tc>
          <w:tcPr>
            <w:tcW w:type="dxa" w:w="1136"/>
            <w:vAlign w:val="center"/>
          </w:tcPr>
          <w:p>
            <w:r>
              <w:rPr>
                <w:sz w:val="13"/>
              </w:rPr>
              <w:t>HMI shall display applicable setpoints.</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CM-URS-075</w:t>
            </w:r>
          </w:p>
        </w:tc>
        <w:tc>
          <w:tcPr>
            <w:tcW w:type="dxa" w:w="1136"/>
            <w:vAlign w:val="center"/>
          </w:tcPr>
          <w:p>
            <w:r>
              <w:rPr>
                <w:sz w:val="13"/>
              </w:rPr>
              <w:t>Automation/HMI</w:t>
            </w:r>
          </w:p>
        </w:tc>
        <w:tc>
          <w:tcPr>
            <w:tcW w:type="dxa" w:w="1136"/>
            <w:vAlign w:val="center"/>
          </w:tcPr>
          <w:p>
            <w:r>
              <w:rPr>
                <w:sz w:val="13"/>
              </w:rPr>
              <w:t>Compression force shall be displayed where applicable.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CM-URS-076</w:t>
            </w:r>
          </w:p>
        </w:tc>
        <w:tc>
          <w:tcPr>
            <w:tcW w:type="dxa" w:w="1136"/>
            <w:vAlign w:val="center"/>
          </w:tcPr>
          <w:p>
            <w:r>
              <w:rPr>
                <w:sz w:val="13"/>
              </w:rPr>
              <w:t>Automation/HMI</w:t>
            </w:r>
          </w:p>
        </w:tc>
        <w:tc>
          <w:tcPr>
            <w:tcW w:type="dxa" w:w="1136"/>
            <w:vAlign w:val="center"/>
          </w:tcPr>
          <w:p>
            <w:r>
              <w:rPr>
                <w:sz w:val="13"/>
              </w:rPr>
              <w:t>Turret/feeder speed shall be displayed.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CM-URS-077</w:t>
            </w:r>
          </w:p>
        </w:tc>
        <w:tc>
          <w:tcPr>
            <w:tcW w:type="dxa" w:w="1136"/>
            <w:vAlign w:val="center"/>
          </w:tcPr>
          <w:p>
            <w:r>
              <w:rPr>
                <w:sz w:val="13"/>
              </w:rPr>
              <w:t>Automation/HMI</w:t>
            </w:r>
          </w:p>
        </w:tc>
        <w:tc>
          <w:tcPr>
            <w:tcW w:type="dxa" w:w="1136"/>
            <w:vAlign w:val="center"/>
          </w:tcPr>
          <w:p>
            <w:r>
              <w:rPr>
                <w:sz w:val="13"/>
              </w:rPr>
              <w:t>Alarms shall be displayed.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CM-URS-078</w:t>
            </w:r>
          </w:p>
        </w:tc>
        <w:tc>
          <w:tcPr>
            <w:tcW w:type="dxa" w:w="1136"/>
            <w:vAlign w:val="center"/>
          </w:tcPr>
          <w:p>
            <w:r>
              <w:rPr>
                <w:sz w:val="13"/>
              </w:rPr>
              <w:t>Automation/HMI</w:t>
            </w:r>
          </w:p>
        </w:tc>
        <w:tc>
          <w:tcPr>
            <w:tcW w:type="dxa" w:w="1136"/>
            <w:vAlign w:val="center"/>
          </w:tcPr>
          <w:p>
            <w:r>
              <w:rPr>
                <w:sz w:val="13"/>
              </w:rPr>
              <w:t>Alarm history shall be available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CM-URS-079</w:t>
            </w:r>
          </w:p>
        </w:tc>
        <w:tc>
          <w:tcPr>
            <w:tcW w:type="dxa" w:w="1136"/>
            <w:vAlign w:val="center"/>
          </w:tcPr>
          <w:p>
            <w:r>
              <w:rPr>
                <w:sz w:val="13"/>
              </w:rPr>
              <w:t>Automation/HMI</w:t>
            </w:r>
          </w:p>
        </w:tc>
        <w:tc>
          <w:tcPr>
            <w:tcW w:type="dxa" w:w="1136"/>
            <w:vAlign w:val="center"/>
          </w:tcPr>
          <w:p>
            <w:r>
              <w:rPr>
                <w:sz w:val="13"/>
              </w:rPr>
              <w:t>Trends shall be available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CM-URS-080</w:t>
            </w:r>
          </w:p>
        </w:tc>
        <w:tc>
          <w:tcPr>
            <w:tcW w:type="dxa" w:w="1136"/>
            <w:vAlign w:val="center"/>
          </w:tcPr>
          <w:p>
            <w:r>
              <w:rPr>
                <w:sz w:val="13"/>
              </w:rPr>
              <w:t>Automation/HMI</w:t>
            </w:r>
          </w:p>
        </w:tc>
        <w:tc>
          <w:tcPr>
            <w:tcW w:type="dxa" w:w="1136"/>
            <w:vAlign w:val="center"/>
          </w:tcPr>
          <w:p>
            <w:r>
              <w:rPr>
                <w:sz w:val="13"/>
              </w:rPr>
              <w:t>Engineering access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CM-URS-081</w:t>
            </w:r>
          </w:p>
        </w:tc>
        <w:tc>
          <w:tcPr>
            <w:tcW w:type="dxa" w:w="1136"/>
            <w:vAlign w:val="center"/>
          </w:tcPr>
          <w:p>
            <w:r>
              <w:rPr>
                <w:sz w:val="13"/>
              </w:rPr>
              <w:t>Recipe/CSV</w:t>
            </w:r>
          </w:p>
        </w:tc>
        <w:tc>
          <w:tcPr>
            <w:tcW w:type="dxa" w:w="1136"/>
            <w:vAlign w:val="center"/>
          </w:tcPr>
          <w:p>
            <w:r>
              <w:rPr>
                <w:sz w:val="13"/>
              </w:rPr>
              <w:t>Recipe creation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CM-URS-082</w:t>
            </w:r>
          </w:p>
        </w:tc>
        <w:tc>
          <w:tcPr>
            <w:tcW w:type="dxa" w:w="1136"/>
            <w:vAlign w:val="center"/>
          </w:tcPr>
          <w:p>
            <w:r>
              <w:rPr>
                <w:sz w:val="13"/>
              </w:rPr>
              <w:t>Recipe/CSV</w:t>
            </w:r>
          </w:p>
        </w:tc>
        <w:tc>
          <w:tcPr>
            <w:tcW w:type="dxa" w:w="1136"/>
            <w:vAlign w:val="center"/>
          </w:tcPr>
          <w:p>
            <w:r>
              <w:rPr>
                <w:sz w:val="13"/>
              </w:rPr>
              <w:t>Recipe approval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CM-URS-083</w:t>
            </w:r>
          </w:p>
        </w:tc>
        <w:tc>
          <w:tcPr>
            <w:tcW w:type="dxa" w:w="1136"/>
            <w:vAlign w:val="center"/>
          </w:tcPr>
          <w:p>
            <w:r>
              <w:rPr>
                <w:sz w:val="13"/>
              </w:rPr>
              <w:t>Recipe/CSV</w:t>
            </w:r>
          </w:p>
        </w:tc>
        <w:tc>
          <w:tcPr>
            <w:tcW w:type="dxa" w:w="1136"/>
            <w:vAlign w:val="center"/>
          </w:tcPr>
          <w:p>
            <w:r>
              <w:rPr>
                <w:sz w:val="13"/>
              </w:rPr>
              <w:t>Recipe version shall be identifiable.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CM-URS-084</w:t>
            </w:r>
          </w:p>
        </w:tc>
        <w:tc>
          <w:tcPr>
            <w:tcW w:type="dxa" w:w="1136"/>
            <w:vAlign w:val="center"/>
          </w:tcPr>
          <w:p>
            <w:r>
              <w:rPr>
                <w:sz w:val="13"/>
              </w:rPr>
              <w:t>Recipe/CSV</w:t>
            </w:r>
          </w:p>
        </w:tc>
        <w:tc>
          <w:tcPr>
            <w:tcW w:type="dxa" w:w="1136"/>
            <w:vAlign w:val="center"/>
          </w:tcPr>
          <w:p>
            <w:r>
              <w:rPr>
                <w:sz w:val="13"/>
              </w:rPr>
              <w:t>Approved recipes shall be protected.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CM-URS-085</w:t>
            </w:r>
          </w:p>
        </w:tc>
        <w:tc>
          <w:tcPr>
            <w:tcW w:type="dxa" w:w="1136"/>
            <w:vAlign w:val="center"/>
          </w:tcPr>
          <w:p>
            <w:r>
              <w:rPr>
                <w:sz w:val="13"/>
              </w:rPr>
              <w:t>Recipe/CSV</w:t>
            </w:r>
          </w:p>
        </w:tc>
        <w:tc>
          <w:tcPr>
            <w:tcW w:type="dxa" w:w="1136"/>
            <w:vAlign w:val="center"/>
          </w:tcPr>
          <w:p>
            <w:r>
              <w:rPr>
                <w:sz w:val="13"/>
              </w:rPr>
              <w:t>Recipe changes shall be traceable where GMP-relevant.</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CM-URS-086</w:t>
            </w:r>
          </w:p>
        </w:tc>
        <w:tc>
          <w:tcPr>
            <w:tcW w:type="dxa" w:w="1136"/>
            <w:vAlign w:val="center"/>
          </w:tcPr>
          <w:p>
            <w:r>
              <w:rPr>
                <w:sz w:val="13"/>
              </w:rPr>
              <w:t>Recipe/CSV</w:t>
            </w:r>
          </w:p>
        </w:tc>
        <w:tc>
          <w:tcPr>
            <w:tcW w:type="dxa" w:w="1136"/>
            <w:vAlign w:val="center"/>
          </w:tcPr>
          <w:p>
            <w:r>
              <w:rPr>
                <w:sz w:val="13"/>
              </w:rPr>
              <w:t>Recipe backup shall be available where required.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CM-URS-087</w:t>
            </w:r>
          </w:p>
        </w:tc>
        <w:tc>
          <w:tcPr>
            <w:tcW w:type="dxa" w:w="1136"/>
            <w:vAlign w:val="center"/>
          </w:tcPr>
          <w:p>
            <w:r>
              <w:rPr>
                <w:sz w:val="13"/>
              </w:rPr>
              <w:t>Recipe/CSV</w:t>
            </w:r>
          </w:p>
        </w:tc>
        <w:tc>
          <w:tcPr>
            <w:tcW w:type="dxa" w:w="1136"/>
            <w:vAlign w:val="center"/>
          </w:tcPr>
          <w:p>
            <w:r>
              <w:rPr>
                <w:sz w:val="13"/>
              </w:rPr>
              <w:t>GxP impact shall be assessed.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CM-URS-088</w:t>
            </w:r>
          </w:p>
        </w:tc>
        <w:tc>
          <w:tcPr>
            <w:tcW w:type="dxa" w:w="1136"/>
            <w:vAlign w:val="center"/>
          </w:tcPr>
          <w:p>
            <w:r>
              <w:rPr>
                <w:sz w:val="13"/>
              </w:rPr>
              <w:t>Recipe/CSV</w:t>
            </w:r>
          </w:p>
        </w:tc>
        <w:tc>
          <w:tcPr>
            <w:tcW w:type="dxa" w:w="1136"/>
            <w:vAlign w:val="center"/>
          </w:tcPr>
          <w:p>
            <w:r>
              <w:rPr>
                <w:sz w:val="13"/>
              </w:rPr>
              <w:t>CSV strategy shall be risk-based.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CM-URS-089</w:t>
            </w:r>
          </w:p>
        </w:tc>
        <w:tc>
          <w:tcPr>
            <w:tcW w:type="dxa" w:w="1136"/>
            <w:vAlign w:val="center"/>
          </w:tcPr>
          <w:p>
            <w:r>
              <w:rPr>
                <w:sz w:val="13"/>
              </w:rPr>
              <w:t>Recipe/CSV</w:t>
            </w:r>
          </w:p>
        </w:tc>
        <w:tc>
          <w:tcPr>
            <w:tcW w:type="dxa" w:w="1136"/>
            <w:vAlign w:val="center"/>
          </w:tcPr>
          <w:p>
            <w:r>
              <w:rPr>
                <w:sz w:val="13"/>
              </w:rPr>
              <w:t>Validation evidence shall be traceable to requirements.</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CM-URS-090</w:t>
            </w:r>
          </w:p>
        </w:tc>
        <w:tc>
          <w:tcPr>
            <w:tcW w:type="dxa" w:w="1136"/>
            <w:vAlign w:val="center"/>
          </w:tcPr>
          <w:p>
            <w:r>
              <w:rPr>
                <w:sz w:val="13"/>
              </w:rPr>
              <w:t>Recipe/CSV</w:t>
            </w:r>
          </w:p>
        </w:tc>
        <w:tc>
          <w:tcPr>
            <w:tcW w:type="dxa" w:w="1136"/>
            <w:vAlign w:val="center"/>
          </w:tcPr>
          <w:p>
            <w:r>
              <w:rPr>
                <w:sz w:val="13"/>
              </w:rPr>
              <w:t>Software versions/configuration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CM-URS-091</w:t>
            </w:r>
          </w:p>
        </w:tc>
        <w:tc>
          <w:tcPr>
            <w:tcW w:type="dxa" w:w="1136"/>
            <w:vAlign w:val="center"/>
          </w:tcPr>
          <w:p>
            <w:r>
              <w:rPr>
                <w:sz w:val="13"/>
              </w:rPr>
              <w:t>Part11/Data Integrity</w:t>
            </w:r>
          </w:p>
        </w:tc>
        <w:tc>
          <w:tcPr>
            <w:tcW w:type="dxa" w:w="1136"/>
            <w:vAlign w:val="center"/>
          </w:tcPr>
          <w:p>
            <w:r>
              <w:rPr>
                <w:sz w:val="13"/>
              </w:rPr>
              <w:t>Part 11 applicability shall be assessed.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CM-URS-092</w:t>
            </w:r>
          </w:p>
        </w:tc>
        <w:tc>
          <w:tcPr>
            <w:tcW w:type="dxa" w:w="1136"/>
            <w:vAlign w:val="center"/>
          </w:tcPr>
          <w:p>
            <w:r>
              <w:rPr>
                <w:sz w:val="13"/>
              </w:rPr>
              <w:t>Part11/Data Integrity</w:t>
            </w:r>
          </w:p>
        </w:tc>
        <w:tc>
          <w:tcPr>
            <w:tcW w:type="dxa" w:w="1136"/>
            <w:vAlign w:val="center"/>
          </w:tcPr>
          <w:p>
            <w:r>
              <w:rPr>
                <w:sz w:val="13"/>
              </w:rPr>
              <w:t>Unique user IDs shall be used where applicable.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CM-URS-093</w:t>
            </w:r>
          </w:p>
        </w:tc>
        <w:tc>
          <w:tcPr>
            <w:tcW w:type="dxa" w:w="1136"/>
            <w:vAlign w:val="center"/>
          </w:tcPr>
          <w:p>
            <w:r>
              <w:rPr>
                <w:sz w:val="13"/>
              </w:rPr>
              <w:t>Part11/Data Integrity</w:t>
            </w:r>
          </w:p>
        </w:tc>
        <w:tc>
          <w:tcPr>
            <w:tcW w:type="dxa" w:w="1136"/>
            <w:vAlign w:val="center"/>
          </w:tcPr>
          <w:p>
            <w:r>
              <w:rPr>
                <w:sz w:val="13"/>
              </w:rPr>
              <w:t>Unauthorized access shall be prevented.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CM-URS-094</w:t>
            </w:r>
          </w:p>
        </w:tc>
        <w:tc>
          <w:tcPr>
            <w:tcW w:type="dxa" w:w="1136"/>
            <w:vAlign w:val="center"/>
          </w:tcPr>
          <w:p>
            <w:r>
              <w:rPr>
                <w:sz w:val="13"/>
              </w:rPr>
              <w:t>Part11/Data Integrity</w:t>
            </w:r>
          </w:p>
        </w:tc>
        <w:tc>
          <w:tcPr>
            <w:tcW w:type="dxa" w:w="1136"/>
            <w:vAlign w:val="center"/>
          </w:tcPr>
          <w:p>
            <w:r>
              <w:rPr>
                <w:sz w:val="13"/>
              </w:rPr>
              <w:t>Electronic signatures shall be controlled where applicable.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CM-URS-095</w:t>
            </w:r>
          </w:p>
        </w:tc>
        <w:tc>
          <w:tcPr>
            <w:tcW w:type="dxa" w:w="1136"/>
            <w:vAlign w:val="center"/>
          </w:tcPr>
          <w:p>
            <w:r>
              <w:rPr>
                <w:sz w:val="13"/>
              </w:rPr>
              <w:t>Part11/Data Integrity</w:t>
            </w:r>
          </w:p>
        </w:tc>
        <w:tc>
          <w:tcPr>
            <w:tcW w:type="dxa" w:w="1136"/>
            <w:vAlign w:val="center"/>
          </w:tcPr>
          <w:p>
            <w:r>
              <w:rPr>
                <w:sz w:val="13"/>
              </w:rPr>
              <w:t>Signature linking shall be implemented where applicable.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CM-URS-096</w:t>
            </w:r>
          </w:p>
        </w:tc>
        <w:tc>
          <w:tcPr>
            <w:tcW w:type="dxa" w:w="1136"/>
            <w:vAlign w:val="center"/>
          </w:tcPr>
          <w:p>
            <w:r>
              <w:rPr>
                <w:sz w:val="13"/>
              </w:rPr>
              <w:t>Part11/Data Integrity</w:t>
            </w:r>
          </w:p>
        </w:tc>
        <w:tc>
          <w:tcPr>
            <w:tcW w:type="dxa" w:w="1136"/>
            <w:vAlign w:val="center"/>
          </w:tcPr>
          <w:p>
            <w:r>
              <w:rPr>
                <w:sz w:val="13"/>
              </w:rPr>
              <w:t>Audit trail shall be risk-based.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CM-URS-097</w:t>
            </w:r>
          </w:p>
        </w:tc>
        <w:tc>
          <w:tcPr>
            <w:tcW w:type="dxa" w:w="1136"/>
            <w:vAlign w:val="center"/>
          </w:tcPr>
          <w:p>
            <w:r>
              <w:rPr>
                <w:sz w:val="13"/>
              </w:rPr>
              <w:t>Part11/Data Integrity</w:t>
            </w:r>
          </w:p>
        </w:tc>
        <w:tc>
          <w:tcPr>
            <w:tcW w:type="dxa" w:w="1136"/>
            <w:vAlign w:val="center"/>
          </w:tcPr>
          <w:p>
            <w:r>
              <w:rPr>
                <w:sz w:val="13"/>
              </w:rPr>
              <w:t>GMP-relevant data shall be attributable.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CM-URS-098</w:t>
            </w:r>
          </w:p>
        </w:tc>
        <w:tc>
          <w:tcPr>
            <w:tcW w:type="dxa" w:w="1136"/>
            <w:vAlign w:val="center"/>
          </w:tcPr>
          <w:p>
            <w:r>
              <w:rPr>
                <w:sz w:val="13"/>
              </w:rPr>
              <w:t>Part11/Data Integrity</w:t>
            </w:r>
          </w:p>
        </w:tc>
        <w:tc>
          <w:tcPr>
            <w:tcW w:type="dxa" w:w="1136"/>
            <w:vAlign w:val="center"/>
          </w:tcPr>
          <w:p>
            <w:r>
              <w:rPr>
                <w:sz w:val="13"/>
              </w:rPr>
              <w:t>GMP-relevant data shall be protected from unauthorized alteration.</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CM-URS-099</w:t>
            </w:r>
          </w:p>
        </w:tc>
        <w:tc>
          <w:tcPr>
            <w:tcW w:type="dxa" w:w="1136"/>
            <w:vAlign w:val="center"/>
          </w:tcPr>
          <w:p>
            <w:r>
              <w:rPr>
                <w:sz w:val="13"/>
              </w:rPr>
              <w:t>Part11/Data Integrity</w:t>
            </w:r>
          </w:p>
        </w:tc>
        <w:tc>
          <w:tcPr>
            <w:tcW w:type="dxa" w:w="1136"/>
            <w:vAlign w:val="center"/>
          </w:tcPr>
          <w:p>
            <w:r>
              <w:rPr>
                <w:sz w:val="13"/>
              </w:rPr>
              <w:t>Data shall remain retrievable for the defined retention period.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CM-URS-100</w:t>
            </w:r>
          </w:p>
        </w:tc>
        <w:tc>
          <w:tcPr>
            <w:tcW w:type="dxa" w:w="1136"/>
            <w:vAlign w:val="center"/>
          </w:tcPr>
          <w:p>
            <w:r>
              <w:rPr>
                <w:sz w:val="13"/>
              </w:rPr>
              <w:t>Part11/Data Integrity</w:t>
            </w:r>
          </w:p>
        </w:tc>
        <w:tc>
          <w:tcPr>
            <w:tcW w:type="dxa" w:w="1136"/>
            <w:vAlign w:val="center"/>
          </w:tcPr>
          <w:p>
            <w:r>
              <w:rPr>
                <w:sz w:val="13"/>
              </w:rPr>
              <w:t>Shared GMP accounts shall not be used.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CM-URS-101</w:t>
            </w:r>
          </w:p>
        </w:tc>
        <w:tc>
          <w:tcPr>
            <w:tcW w:type="dxa" w:w="1136"/>
            <w:vAlign w:val="center"/>
          </w:tcPr>
          <w:p>
            <w:r>
              <w:rPr>
                <w:sz w:val="13"/>
              </w:rPr>
              <w:t>Cybersecurity/Backup</w:t>
            </w:r>
          </w:p>
        </w:tc>
        <w:tc>
          <w:tcPr>
            <w:tcW w:type="dxa" w:w="1136"/>
            <w:vAlign w:val="center"/>
          </w:tcPr>
          <w:p>
            <w:r>
              <w:rPr>
                <w:sz w:val="13"/>
              </w:rPr>
              <w:t>Remote access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CM-URS-102</w:t>
            </w:r>
          </w:p>
        </w:tc>
        <w:tc>
          <w:tcPr>
            <w:tcW w:type="dxa" w:w="1136"/>
            <w:vAlign w:val="center"/>
          </w:tcPr>
          <w:p>
            <w:r>
              <w:rPr>
                <w:sz w:val="13"/>
              </w:rPr>
              <w:t>Cybersecurity/Backup</w:t>
            </w:r>
          </w:p>
        </w:tc>
        <w:tc>
          <w:tcPr>
            <w:tcW w:type="dxa" w:w="1136"/>
            <w:vAlign w:val="center"/>
          </w:tcPr>
          <w:p>
            <w:r>
              <w:rPr>
                <w:sz w:val="13"/>
              </w:rPr>
              <w:t>Vendor remote access shall be authorized and logged.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CM-URS-103</w:t>
            </w:r>
          </w:p>
        </w:tc>
        <w:tc>
          <w:tcPr>
            <w:tcW w:type="dxa" w:w="1136"/>
            <w:vAlign w:val="center"/>
          </w:tcPr>
          <w:p>
            <w:r>
              <w:rPr>
                <w:sz w:val="13"/>
              </w:rPr>
              <w:t>Cybersecurity/Backup</w:t>
            </w:r>
          </w:p>
        </w:tc>
        <w:tc>
          <w:tcPr>
            <w:tcW w:type="dxa" w:w="1136"/>
            <w:vAlign w:val="center"/>
          </w:tcPr>
          <w:p>
            <w:r>
              <w:rPr>
                <w:sz w:val="13"/>
              </w:rPr>
              <w:t>Administrative privileges shall be restricted.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CM-URS-104</w:t>
            </w:r>
          </w:p>
        </w:tc>
        <w:tc>
          <w:tcPr>
            <w:tcW w:type="dxa" w:w="1136"/>
            <w:vAlign w:val="center"/>
          </w:tcPr>
          <w:p>
            <w:r>
              <w:rPr>
                <w:sz w:val="13"/>
              </w:rPr>
              <w:t>Cybersecurity/Backup</w:t>
            </w:r>
          </w:p>
        </w:tc>
        <w:tc>
          <w:tcPr>
            <w:tcW w:type="dxa" w:w="1136"/>
            <w:vAlign w:val="center"/>
          </w:tcPr>
          <w:p>
            <w:r>
              <w:rPr>
                <w:sz w:val="13"/>
              </w:rPr>
              <w:t>Network architecture shall be documented.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CM-URS-105</w:t>
            </w:r>
          </w:p>
        </w:tc>
        <w:tc>
          <w:tcPr>
            <w:tcW w:type="dxa" w:w="1136"/>
            <w:vAlign w:val="center"/>
          </w:tcPr>
          <w:p>
            <w:r>
              <w:rPr>
                <w:sz w:val="13"/>
              </w:rPr>
              <w:t>Cybersecurity/Backup</w:t>
            </w:r>
          </w:p>
        </w:tc>
        <w:tc>
          <w:tcPr>
            <w:tcW w:type="dxa" w:w="1136"/>
            <w:vAlign w:val="center"/>
          </w:tcPr>
          <w:p>
            <w:r>
              <w:rPr>
                <w:sz w:val="13"/>
              </w:rPr>
              <w:t>Security controls shall be risk-based.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CM-URS-106</w:t>
            </w:r>
          </w:p>
        </w:tc>
        <w:tc>
          <w:tcPr>
            <w:tcW w:type="dxa" w:w="1136"/>
            <w:vAlign w:val="center"/>
          </w:tcPr>
          <w:p>
            <w:r>
              <w:rPr>
                <w:sz w:val="13"/>
              </w:rPr>
              <w:t>Cybersecurity/Backup</w:t>
            </w:r>
          </w:p>
        </w:tc>
        <w:tc>
          <w:tcPr>
            <w:tcW w:type="dxa" w:w="1136"/>
            <w:vAlign w:val="center"/>
          </w:tcPr>
          <w:p>
            <w:r>
              <w:rPr>
                <w:sz w:val="13"/>
              </w:rPr>
              <w:t>Backup shall be protected.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CM-URS-107</w:t>
            </w:r>
          </w:p>
        </w:tc>
        <w:tc>
          <w:tcPr>
            <w:tcW w:type="dxa" w:w="1136"/>
            <w:vAlign w:val="center"/>
          </w:tcPr>
          <w:p>
            <w:r>
              <w:rPr>
                <w:sz w:val="13"/>
              </w:rPr>
              <w:t>Cybersecurity/Backup</w:t>
            </w:r>
          </w:p>
        </w:tc>
        <w:tc>
          <w:tcPr>
            <w:tcW w:type="dxa" w:w="1136"/>
            <w:vAlign w:val="center"/>
          </w:tcPr>
          <w:p>
            <w:r>
              <w:rPr>
                <w:sz w:val="13"/>
              </w:rPr>
              <w:t>Restore shall be tested.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CM-URS-108</w:t>
            </w:r>
          </w:p>
        </w:tc>
        <w:tc>
          <w:tcPr>
            <w:tcW w:type="dxa" w:w="1136"/>
            <w:vAlign w:val="center"/>
          </w:tcPr>
          <w:p>
            <w:r>
              <w:rPr>
                <w:sz w:val="13"/>
              </w:rPr>
              <w:t>Cybersecurity/Backup</w:t>
            </w:r>
          </w:p>
        </w:tc>
        <w:tc>
          <w:tcPr>
            <w:tcW w:type="dxa" w:w="1136"/>
            <w:vAlign w:val="center"/>
          </w:tcPr>
          <w:p>
            <w:r>
              <w:rPr>
                <w:sz w:val="13"/>
              </w:rPr>
              <w:t>Time synchronization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CM-URS-109</w:t>
            </w:r>
          </w:p>
        </w:tc>
        <w:tc>
          <w:tcPr>
            <w:tcW w:type="dxa" w:w="1136"/>
            <w:vAlign w:val="center"/>
          </w:tcPr>
          <w:p>
            <w:r>
              <w:rPr>
                <w:sz w:val="13"/>
              </w:rPr>
              <w:t>Cybersecurity/Backup</w:t>
            </w:r>
          </w:p>
        </w:tc>
        <w:tc>
          <w:tcPr>
            <w:tcW w:type="dxa" w:w="1136"/>
            <w:vAlign w:val="center"/>
          </w:tcPr>
          <w:p>
            <w:r>
              <w:rPr>
                <w:sz w:val="13"/>
              </w:rPr>
              <w:t>Data deletion shall be controlled.</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CM-URS-110</w:t>
            </w:r>
          </w:p>
        </w:tc>
        <w:tc>
          <w:tcPr>
            <w:tcW w:type="dxa" w:w="1136"/>
            <w:vAlign w:val="center"/>
          </w:tcPr>
          <w:p>
            <w:r>
              <w:rPr>
                <w:sz w:val="13"/>
              </w:rPr>
              <w:t>Cybersecurity/Backup</w:t>
            </w:r>
          </w:p>
        </w:tc>
        <w:tc>
          <w:tcPr>
            <w:tcW w:type="dxa" w:w="1136"/>
            <w:vAlign w:val="center"/>
          </w:tcPr>
          <w:p>
            <w:r>
              <w:rPr>
                <w:sz w:val="13"/>
              </w:rPr>
              <w:t>Disaster recovery shall be documented.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CM-URS-111</w:t>
            </w:r>
          </w:p>
        </w:tc>
        <w:tc>
          <w:tcPr>
            <w:tcW w:type="dxa" w:w="1136"/>
            <w:vAlign w:val="center"/>
          </w:tcPr>
          <w:p>
            <w:r>
              <w:rPr>
                <w:sz w:val="13"/>
              </w:rPr>
              <w:t>Qualification/Lifecycle</w:t>
            </w:r>
          </w:p>
        </w:tc>
        <w:tc>
          <w:tcPr>
            <w:tcW w:type="dxa" w:w="1136"/>
            <w:vAlign w:val="center"/>
          </w:tcPr>
          <w:p>
            <w:r>
              <w:rPr>
                <w:sz w:val="13"/>
              </w:rPr>
              <w:t>FAT protocol shall be approved before execution.</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CM-URS-112</w:t>
            </w:r>
          </w:p>
        </w:tc>
        <w:tc>
          <w:tcPr>
            <w:tcW w:type="dxa" w:w="1136"/>
            <w:vAlign w:val="center"/>
          </w:tcPr>
          <w:p>
            <w:r>
              <w:rPr>
                <w:sz w:val="13"/>
              </w:rPr>
              <w:t>Qualification/Lifecycle</w:t>
            </w:r>
          </w:p>
        </w:tc>
        <w:tc>
          <w:tcPr>
            <w:tcW w:type="dxa" w:w="1136"/>
            <w:vAlign w:val="center"/>
          </w:tcPr>
          <w:p>
            <w:r>
              <w:rPr>
                <w:sz w:val="13"/>
              </w:rPr>
              <w:t>FAT shall challenge critical functions.</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CM-URS-113</w:t>
            </w:r>
          </w:p>
        </w:tc>
        <w:tc>
          <w:tcPr>
            <w:tcW w:type="dxa" w:w="1136"/>
            <w:vAlign w:val="center"/>
          </w:tcPr>
          <w:p>
            <w:r>
              <w:rPr>
                <w:sz w:val="13"/>
              </w:rPr>
              <w:t>Qualification/Lifecycle</w:t>
            </w:r>
          </w:p>
        </w:tc>
        <w:tc>
          <w:tcPr>
            <w:tcW w:type="dxa" w:w="1136"/>
            <w:vAlign w:val="center"/>
          </w:tcPr>
          <w:p>
            <w:r>
              <w:rPr>
                <w:sz w:val="13"/>
              </w:rPr>
              <w:t>SAT shall verify site installation and interfaces.</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CM-URS-114</w:t>
            </w:r>
          </w:p>
        </w:tc>
        <w:tc>
          <w:tcPr>
            <w:tcW w:type="dxa" w:w="1136"/>
            <w:vAlign w:val="center"/>
          </w:tcPr>
          <w:p>
            <w:r>
              <w:rPr>
                <w:sz w:val="13"/>
              </w:rPr>
              <w:t>Qualification/Lifecycle</w:t>
            </w:r>
          </w:p>
        </w:tc>
        <w:tc>
          <w:tcPr>
            <w:tcW w:type="dxa" w:w="1136"/>
            <w:vAlign w:val="center"/>
          </w:tcPr>
          <w:p>
            <w:r>
              <w:rPr>
                <w:sz w:val="13"/>
              </w:rPr>
              <w:t>IQ shall verify installation and documentation.</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CM-URS-115</w:t>
            </w:r>
          </w:p>
        </w:tc>
        <w:tc>
          <w:tcPr>
            <w:tcW w:type="dxa" w:w="1136"/>
            <w:vAlign w:val="center"/>
          </w:tcPr>
          <w:p>
            <w:r>
              <w:rPr>
                <w:sz w:val="13"/>
              </w:rPr>
              <w:t>Qualification/Lifecycle</w:t>
            </w:r>
          </w:p>
        </w:tc>
        <w:tc>
          <w:tcPr>
            <w:tcW w:type="dxa" w:w="1136"/>
            <w:vAlign w:val="center"/>
          </w:tcPr>
          <w:p>
            <w:r>
              <w:rPr>
                <w:sz w:val="13"/>
              </w:rPr>
              <w:t>OQ shall challenge operating ranges and controls.</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CM-URS-116</w:t>
            </w:r>
          </w:p>
        </w:tc>
        <w:tc>
          <w:tcPr>
            <w:tcW w:type="dxa" w:w="1136"/>
            <w:vAlign w:val="center"/>
          </w:tcPr>
          <w:p>
            <w:r>
              <w:rPr>
                <w:sz w:val="13"/>
              </w:rPr>
              <w:t>Qualification/Lifecycle</w:t>
            </w:r>
          </w:p>
        </w:tc>
        <w:tc>
          <w:tcPr>
            <w:tcW w:type="dxa" w:w="1136"/>
            <w:vAlign w:val="center"/>
          </w:tcPr>
          <w:p>
            <w:r>
              <w:rPr>
                <w:sz w:val="13"/>
              </w:rPr>
              <w:t>OQ shall challenge alarms/interlocks.</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CM-URS-117</w:t>
            </w:r>
          </w:p>
        </w:tc>
        <w:tc>
          <w:tcPr>
            <w:tcW w:type="dxa" w:w="1136"/>
            <w:vAlign w:val="center"/>
          </w:tcPr>
          <w:p>
            <w:r>
              <w:rPr>
                <w:sz w:val="13"/>
              </w:rPr>
              <w:t>Qualification/Lifecycle</w:t>
            </w:r>
          </w:p>
        </w:tc>
        <w:tc>
          <w:tcPr>
            <w:tcW w:type="dxa" w:w="1136"/>
            <w:vAlign w:val="center"/>
          </w:tcPr>
          <w:p>
            <w:r>
              <w:rPr>
                <w:sz w:val="13"/>
              </w:rPr>
              <w:t>OQ shall challenge user access and data-integrity controls.</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CM-URS-118</w:t>
            </w:r>
          </w:p>
        </w:tc>
        <w:tc>
          <w:tcPr>
            <w:tcW w:type="dxa" w:w="1136"/>
            <w:vAlign w:val="center"/>
          </w:tcPr>
          <w:p>
            <w:r>
              <w:rPr>
                <w:sz w:val="13"/>
              </w:rPr>
              <w:t>Qualification/Lifecycle</w:t>
            </w:r>
          </w:p>
        </w:tc>
        <w:tc>
          <w:tcPr>
            <w:tcW w:type="dxa" w:w="1136"/>
            <w:vAlign w:val="center"/>
          </w:tcPr>
          <w:p>
            <w:r>
              <w:rPr>
                <w:sz w:val="13"/>
              </w:rPr>
              <w:t>PQ shall demonstrate reproducible process performance.</w:t>
            </w:r>
          </w:p>
        </w:tc>
        <w:tc>
          <w:tcPr>
            <w:tcW w:type="dxa" w:w="1136"/>
            <w:vAlign w:val="center"/>
          </w:tcPr>
          <w:p>
            <w:r>
              <w:rPr>
                <w:sz w:val="13"/>
              </w:rPr>
              <w:t>Required to support intended use, GMP control and/or reliable operation.</w:t>
            </w:r>
          </w:p>
        </w:tc>
        <w:tc>
          <w:tcPr>
            <w:tcW w:type="dxa" w:w="1136"/>
            <w:vAlign w:val="center"/>
          </w:tcPr>
          <w:p>
            <w:r>
              <w:rPr>
                <w:sz w:val="13"/>
              </w:rPr>
              <w:t>Critical</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CM-URS-119</w:t>
            </w:r>
          </w:p>
        </w:tc>
        <w:tc>
          <w:tcPr>
            <w:tcW w:type="dxa" w:w="1136"/>
            <w:vAlign w:val="center"/>
          </w:tcPr>
          <w:p>
            <w:r>
              <w:rPr>
                <w:sz w:val="13"/>
              </w:rPr>
              <w:t>Qualification/Lifecycle</w:t>
            </w:r>
          </w:p>
        </w:tc>
        <w:tc>
          <w:tcPr>
            <w:tcW w:type="dxa" w:w="1136"/>
            <w:vAlign w:val="center"/>
          </w:tcPr>
          <w:p>
            <w:r>
              <w:rPr>
                <w:sz w:val="13"/>
              </w:rPr>
              <w:t>URS-to-test traceability shall be maintained.</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r>
        <w:tc>
          <w:tcPr>
            <w:tcW w:type="dxa" w:w="1136"/>
            <w:vAlign w:val="center"/>
          </w:tcPr>
          <w:p>
            <w:r>
              <w:rPr>
                <w:sz w:val="13"/>
              </w:rPr>
              <w:t>CM-URS-120</w:t>
            </w:r>
          </w:p>
        </w:tc>
        <w:tc>
          <w:tcPr>
            <w:tcW w:type="dxa" w:w="1136"/>
            <w:vAlign w:val="center"/>
          </w:tcPr>
          <w:p>
            <w:r>
              <w:rPr>
                <w:sz w:val="13"/>
              </w:rPr>
              <w:t>Qualification/Lifecycle</w:t>
            </w:r>
          </w:p>
        </w:tc>
        <w:tc>
          <w:tcPr>
            <w:tcW w:type="dxa" w:w="1136"/>
            <w:vAlign w:val="center"/>
          </w:tcPr>
          <w:p>
            <w:r>
              <w:rPr>
                <w:sz w:val="13"/>
              </w:rPr>
              <w:t>Changes shall be controlled throughout lifecycle.</w:t>
            </w:r>
          </w:p>
        </w:tc>
        <w:tc>
          <w:tcPr>
            <w:tcW w:type="dxa" w:w="1136"/>
            <w:vAlign w:val="center"/>
          </w:tcPr>
          <w:p>
            <w:r>
              <w:rPr>
                <w:sz w:val="13"/>
              </w:rPr>
              <w:t>Required to support intended use, GMP control and/or reliable operation.</w:t>
            </w:r>
          </w:p>
        </w:tc>
        <w:tc>
          <w:tcPr>
            <w:tcW w:type="dxa" w:w="1136"/>
            <w:vAlign w:val="center"/>
          </w:tcPr>
          <w:p>
            <w:r>
              <w:rPr>
                <w:sz w:val="13"/>
              </w:rPr>
              <w:t>Major</w:t>
            </w:r>
          </w:p>
        </w:tc>
        <w:tc>
          <w:tcPr>
            <w:tcW w:type="dxa" w:w="1136"/>
            <w:vAlign w:val="center"/>
          </w:tcPr>
          <w:p>
            <w:r>
              <w:rPr>
                <w:sz w:val="13"/>
              </w:rPr>
              <w:t>DQ/FAT/IQ/OQ/PQ/CSV as applicable</w:t>
            </w:r>
          </w:p>
        </w:tc>
        <w:tc>
          <w:tcPr>
            <w:tcW w:type="dxa" w:w="1136"/>
            <w:vAlign w:val="center"/>
          </w:tcPr>
          <w:p>
            <w:r>
              <w:rPr>
                <w:sz w:val="13"/>
              </w:rPr>
              <w:t>To be defined based on approved process requirement, risk assessment, and engineering design.</w:t>
            </w:r>
          </w:p>
        </w:tc>
        <w:tc>
          <w:tcPr>
            <w:tcW w:type="dxa" w:w="1136"/>
            <w:vAlign w:val="center"/>
          </w:tcPr>
          <w:p>
            <w:r>
              <w:rPr>
                <w:sz w:val="13"/>
              </w:rPr>
              <w:t>Applicable GMP/CSV/site standard</w:t>
            </w:r>
          </w:p>
        </w:tc>
        <w:tc>
          <w:tcPr>
            <w:tcW w:type="dxa" w:w="1136"/>
            <w:vAlign w:val="center"/>
          </w:tcPr>
          <w:p>
            <w:r>
              <w:rPr>
                <w:sz w:val="13"/>
              </w:rPr>
              <w:t>FS/DS → FAT/SAT/IQ/OQ/PQ/CSV as applicable</w:t>
            </w:r>
          </w:p>
        </w:tc>
      </w:tr>
    </w:tbl>
    <w:p/>
    <w:p>
      <w:pPr>
        <w:pStyle w:val="Heading1"/>
      </w:pPr>
      <w:r>
        <w:t>48. Traceability Matrix</w:t>
      </w:r>
    </w:p>
    <w:tbl>
      <w:tblPr>
        <w:tblStyle w:val="TableGrid"/>
        <w:tblW w:type="auto" w:w="0"/>
        <w:jc w:val="center"/>
        <w:tblLook w:firstColumn="1" w:firstRow="1" w:lastColumn="0" w:lastRow="0" w:noHBand="0" w:noVBand="1" w:val="04A0"/>
      </w:tblPr>
      <w:tblGrid>
        <w:gridCol w:w="852"/>
        <w:gridCol w:w="852"/>
        <w:gridCol w:w="852"/>
        <w:gridCol w:w="852"/>
        <w:gridCol w:w="852"/>
        <w:gridCol w:w="852"/>
        <w:gridCol w:w="852"/>
        <w:gridCol w:w="852"/>
        <w:gridCol w:w="852"/>
        <w:gridCol w:w="852"/>
        <w:gridCol w:w="852"/>
        <w:gridCol w:w="852"/>
      </w:tblGrid>
      <w:tr>
        <w:trPr>
          <w:tblHeader w:val="true"/>
        </w:trPr>
        <w:tc>
          <w:tcPr>
            <w:tcW w:type="dxa" w:w="852"/>
            <w:shd w:fill="D9EAF7"/>
          </w:tcPr>
          <w:p>
            <w:r>
              <w:rPr>
                <w:b/>
                <w:sz w:val="15"/>
              </w:rPr>
              <w:t>URS ID</w:t>
            </w:r>
          </w:p>
        </w:tc>
        <w:tc>
          <w:tcPr>
            <w:tcW w:type="dxa" w:w="852"/>
            <w:shd w:fill="D9EAF7"/>
          </w:tcPr>
          <w:p>
            <w:r>
              <w:rPr>
                <w:b/>
                <w:sz w:val="15"/>
              </w:rPr>
              <w:t>Requirement</w:t>
            </w:r>
          </w:p>
        </w:tc>
        <w:tc>
          <w:tcPr>
            <w:tcW w:type="dxa" w:w="852"/>
            <w:shd w:fill="D9EAF7"/>
          </w:tcPr>
          <w:p>
            <w:r>
              <w:rPr>
                <w:b/>
                <w:sz w:val="15"/>
              </w:rPr>
              <w:t>Risk/Criticality</w:t>
            </w:r>
          </w:p>
        </w:tc>
        <w:tc>
          <w:tcPr>
            <w:tcW w:type="dxa" w:w="852"/>
            <w:shd w:fill="D9EAF7"/>
          </w:tcPr>
          <w:p>
            <w:r>
              <w:rPr>
                <w:b/>
                <w:sz w:val="15"/>
              </w:rPr>
              <w:t>FS</w:t>
            </w:r>
          </w:p>
        </w:tc>
        <w:tc>
          <w:tcPr>
            <w:tcW w:type="dxa" w:w="852"/>
            <w:shd w:fill="D9EAF7"/>
          </w:tcPr>
          <w:p>
            <w:r>
              <w:rPr>
                <w:b/>
                <w:sz w:val="15"/>
              </w:rPr>
              <w:t>DS</w:t>
            </w:r>
          </w:p>
        </w:tc>
        <w:tc>
          <w:tcPr>
            <w:tcW w:type="dxa" w:w="852"/>
            <w:shd w:fill="D9EAF7"/>
          </w:tcPr>
          <w:p>
            <w:r>
              <w:rPr>
                <w:b/>
                <w:sz w:val="15"/>
              </w:rPr>
              <w:t>FAT</w:t>
            </w:r>
          </w:p>
        </w:tc>
        <w:tc>
          <w:tcPr>
            <w:tcW w:type="dxa" w:w="852"/>
            <w:shd w:fill="D9EAF7"/>
          </w:tcPr>
          <w:p>
            <w:r>
              <w:rPr>
                <w:b/>
                <w:sz w:val="15"/>
              </w:rPr>
              <w:t>SAT</w:t>
            </w:r>
          </w:p>
        </w:tc>
        <w:tc>
          <w:tcPr>
            <w:tcW w:type="dxa" w:w="852"/>
            <w:shd w:fill="D9EAF7"/>
          </w:tcPr>
          <w:p>
            <w:r>
              <w:rPr>
                <w:b/>
                <w:sz w:val="15"/>
              </w:rPr>
              <w:t>IQ</w:t>
            </w:r>
          </w:p>
        </w:tc>
        <w:tc>
          <w:tcPr>
            <w:tcW w:type="dxa" w:w="852"/>
            <w:shd w:fill="D9EAF7"/>
          </w:tcPr>
          <w:p>
            <w:r>
              <w:rPr>
                <w:b/>
                <w:sz w:val="15"/>
              </w:rPr>
              <w:t>OQ</w:t>
            </w:r>
          </w:p>
        </w:tc>
        <w:tc>
          <w:tcPr>
            <w:tcW w:type="dxa" w:w="852"/>
            <w:shd w:fill="D9EAF7"/>
          </w:tcPr>
          <w:p>
            <w:r>
              <w:rPr>
                <w:b/>
                <w:sz w:val="15"/>
              </w:rPr>
              <w:t>PQ</w:t>
            </w:r>
          </w:p>
        </w:tc>
        <w:tc>
          <w:tcPr>
            <w:tcW w:type="dxa" w:w="852"/>
            <w:shd w:fill="D9EAF7"/>
          </w:tcPr>
          <w:p>
            <w:r>
              <w:rPr>
                <w:b/>
                <w:sz w:val="15"/>
              </w:rPr>
              <w:t>CSV Test</w:t>
            </w:r>
          </w:p>
        </w:tc>
        <w:tc>
          <w:tcPr>
            <w:tcW w:type="dxa" w:w="852"/>
            <w:shd w:fill="D9EAF7"/>
          </w:tcPr>
          <w:p>
            <w:r>
              <w:rPr>
                <w:b/>
                <w:sz w:val="15"/>
              </w:rPr>
              <w:t>Status</w:t>
            </w:r>
          </w:p>
        </w:tc>
      </w:tr>
      <w:tr>
        <w:tc>
          <w:tcPr>
            <w:tcW w:type="dxa" w:w="852"/>
            <w:vAlign w:val="center"/>
          </w:tcPr>
          <w:p>
            <w:r>
              <w:rPr>
                <w:sz w:val="15"/>
              </w:rPr>
              <w:t>CM-URS-001</w:t>
            </w:r>
          </w:p>
        </w:tc>
        <w:tc>
          <w:tcPr>
            <w:tcW w:type="dxa" w:w="852"/>
            <w:vAlign w:val="center"/>
          </w:tcPr>
          <w:p>
            <w:r>
              <w:rPr>
                <w:sz w:val="15"/>
              </w:rPr>
              <w:t>GMP suitability</w:t>
            </w:r>
          </w:p>
        </w:tc>
        <w:tc>
          <w:tcPr>
            <w:tcW w:type="dxa" w:w="852"/>
            <w:vAlign w:val="center"/>
          </w:tcPr>
          <w:p>
            <w:r>
              <w:rPr>
                <w:sz w:val="15"/>
              </w:rPr>
              <w:t>Critical</w:t>
            </w:r>
          </w:p>
        </w:tc>
        <w:tc>
          <w:tcPr>
            <w:tcW w:type="dxa" w:w="852"/>
            <w:vAlign w:val="center"/>
          </w:tcPr>
          <w:p>
            <w:r>
              <w:rPr>
                <w:sz w:val="15"/>
              </w:rPr>
              <w:t>FS-01</w:t>
            </w:r>
          </w:p>
        </w:tc>
        <w:tc>
          <w:tcPr>
            <w:tcW w:type="dxa" w:w="852"/>
            <w:vAlign w:val="center"/>
          </w:tcPr>
          <w:p>
            <w:r>
              <w:rPr>
                <w:sz w:val="15"/>
              </w:rPr>
              <w:t>DS-01</w:t>
            </w:r>
          </w:p>
        </w:tc>
        <w:tc>
          <w:tcPr>
            <w:tcW w:type="dxa" w:w="852"/>
            <w:vAlign w:val="center"/>
          </w:tcPr>
          <w:p>
            <w:r>
              <w:rPr>
                <w:sz w:val="15"/>
              </w:rPr>
              <w:t>FAT-01</w:t>
            </w:r>
          </w:p>
        </w:tc>
        <w:tc>
          <w:tcPr>
            <w:tcW w:type="dxa" w:w="852"/>
            <w:vAlign w:val="center"/>
          </w:tcPr>
          <w:p>
            <w:r>
              <w:rPr>
                <w:sz w:val="15"/>
              </w:rPr>
              <w:t>SAT-01</w:t>
            </w:r>
          </w:p>
        </w:tc>
        <w:tc>
          <w:tcPr>
            <w:tcW w:type="dxa" w:w="852"/>
            <w:vAlign w:val="center"/>
          </w:tcPr>
          <w:p>
            <w:r>
              <w:rPr>
                <w:sz w:val="15"/>
              </w:rPr>
              <w:t>IQ-01</w:t>
            </w:r>
          </w:p>
        </w:tc>
        <w:tc>
          <w:tcPr>
            <w:tcW w:type="dxa" w:w="852"/>
            <w:vAlign w:val="center"/>
          </w:tcPr>
          <w:p>
            <w:r>
              <w:rPr>
                <w:sz w:val="15"/>
              </w:rPr>
              <w:t>OQ-01</w:t>
            </w:r>
          </w:p>
        </w:tc>
        <w:tc>
          <w:tcPr>
            <w:tcW w:type="dxa" w:w="852"/>
            <w:vAlign w:val="center"/>
          </w:tcPr>
          <w:p>
            <w:r>
              <w:rPr>
                <w:sz w:val="15"/>
              </w:rPr>
              <w:t>PQ-01</w:t>
            </w:r>
          </w:p>
        </w:tc>
        <w:tc>
          <w:tcPr>
            <w:tcW w:type="dxa" w:w="852"/>
            <w:vAlign w:val="center"/>
          </w:tcPr>
          <w:p>
            <w:r>
              <w:rPr>
                <w:sz w:val="15"/>
              </w:rPr>
              <w:t>CSV-01</w:t>
            </w:r>
          </w:p>
        </w:tc>
        <w:tc>
          <w:tcPr>
            <w:tcW w:type="dxa" w:w="852"/>
            <w:vAlign w:val="center"/>
          </w:tcPr>
          <w:p>
            <w:r>
              <w:rPr>
                <w:sz w:val="15"/>
              </w:rPr>
              <w:t>Open</w:t>
            </w:r>
          </w:p>
        </w:tc>
      </w:tr>
      <w:tr>
        <w:tc>
          <w:tcPr>
            <w:tcW w:type="dxa" w:w="852"/>
            <w:vAlign w:val="center"/>
          </w:tcPr>
          <w:p>
            <w:r>
              <w:rPr>
                <w:sz w:val="15"/>
              </w:rPr>
              <w:t>CM-URS-039</w:t>
            </w:r>
          </w:p>
        </w:tc>
        <w:tc>
          <w:tcPr>
            <w:tcW w:type="dxa" w:w="852"/>
            <w:vAlign w:val="center"/>
          </w:tcPr>
          <w:p>
            <w:r>
              <w:rPr>
                <w:sz w:val="15"/>
              </w:rPr>
              <w:t>Pre-compression force</w:t>
            </w:r>
          </w:p>
        </w:tc>
        <w:tc>
          <w:tcPr>
            <w:tcW w:type="dxa" w:w="852"/>
            <w:vAlign w:val="center"/>
          </w:tcPr>
          <w:p>
            <w:r>
              <w:rPr>
                <w:sz w:val="15"/>
              </w:rPr>
              <w:t>Critical</w:t>
            </w:r>
          </w:p>
        </w:tc>
        <w:tc>
          <w:tcPr>
            <w:tcW w:type="dxa" w:w="852"/>
            <w:vAlign w:val="center"/>
          </w:tcPr>
          <w:p>
            <w:r>
              <w:rPr>
                <w:sz w:val="15"/>
              </w:rPr>
              <w:t>FS-02</w:t>
            </w:r>
          </w:p>
        </w:tc>
        <w:tc>
          <w:tcPr>
            <w:tcW w:type="dxa" w:w="852"/>
            <w:vAlign w:val="center"/>
          </w:tcPr>
          <w:p>
            <w:r>
              <w:rPr>
                <w:sz w:val="15"/>
              </w:rPr>
              <w:t>DS-02</w:t>
            </w:r>
          </w:p>
        </w:tc>
        <w:tc>
          <w:tcPr>
            <w:tcW w:type="dxa" w:w="852"/>
            <w:vAlign w:val="center"/>
          </w:tcPr>
          <w:p>
            <w:r>
              <w:rPr>
                <w:sz w:val="15"/>
              </w:rPr>
              <w:t>FAT-02</w:t>
            </w:r>
          </w:p>
        </w:tc>
        <w:tc>
          <w:tcPr>
            <w:tcW w:type="dxa" w:w="852"/>
            <w:vAlign w:val="center"/>
          </w:tcPr>
          <w:p>
            <w:r>
              <w:rPr>
                <w:sz w:val="15"/>
              </w:rPr>
              <w:t>SAT-02</w:t>
            </w:r>
          </w:p>
        </w:tc>
        <w:tc>
          <w:tcPr>
            <w:tcW w:type="dxa" w:w="852"/>
            <w:vAlign w:val="center"/>
          </w:tcPr>
          <w:p>
            <w:r>
              <w:rPr>
                <w:sz w:val="15"/>
              </w:rPr>
              <w:t>IQ-02</w:t>
            </w:r>
          </w:p>
        </w:tc>
        <w:tc>
          <w:tcPr>
            <w:tcW w:type="dxa" w:w="852"/>
            <w:vAlign w:val="center"/>
          </w:tcPr>
          <w:p>
            <w:r>
              <w:rPr>
                <w:sz w:val="15"/>
              </w:rPr>
              <w:t>OQ-02</w:t>
            </w:r>
          </w:p>
        </w:tc>
        <w:tc>
          <w:tcPr>
            <w:tcW w:type="dxa" w:w="852"/>
            <w:vAlign w:val="center"/>
          </w:tcPr>
          <w:p>
            <w:r>
              <w:rPr>
                <w:sz w:val="15"/>
              </w:rPr>
              <w:t>PQ-02</w:t>
            </w:r>
          </w:p>
        </w:tc>
        <w:tc>
          <w:tcPr>
            <w:tcW w:type="dxa" w:w="852"/>
            <w:vAlign w:val="center"/>
          </w:tcPr>
          <w:p>
            <w:r>
              <w:rPr>
                <w:sz w:val="15"/>
              </w:rPr>
              <w:t>CSV-02</w:t>
            </w:r>
          </w:p>
        </w:tc>
        <w:tc>
          <w:tcPr>
            <w:tcW w:type="dxa" w:w="852"/>
            <w:vAlign w:val="center"/>
          </w:tcPr>
          <w:p>
            <w:r>
              <w:rPr>
                <w:sz w:val="15"/>
              </w:rPr>
              <w:t>Open</w:t>
            </w:r>
          </w:p>
        </w:tc>
      </w:tr>
      <w:tr>
        <w:tc>
          <w:tcPr>
            <w:tcW w:type="dxa" w:w="852"/>
            <w:vAlign w:val="center"/>
          </w:tcPr>
          <w:p>
            <w:r>
              <w:rPr>
                <w:sz w:val="15"/>
              </w:rPr>
              <w:t>CM-URS-055</w:t>
            </w:r>
          </w:p>
        </w:tc>
        <w:tc>
          <w:tcPr>
            <w:tcW w:type="dxa" w:w="852"/>
            <w:vAlign w:val="center"/>
          </w:tcPr>
          <w:p>
            <w:r>
              <w:rPr>
                <w:sz w:val="15"/>
              </w:rPr>
              <w:t>Recipe control</w:t>
            </w:r>
          </w:p>
        </w:tc>
        <w:tc>
          <w:tcPr>
            <w:tcW w:type="dxa" w:w="852"/>
            <w:vAlign w:val="center"/>
          </w:tcPr>
          <w:p>
            <w:r>
              <w:rPr>
                <w:sz w:val="15"/>
              </w:rPr>
              <w:t>Critical</w:t>
            </w:r>
          </w:p>
        </w:tc>
        <w:tc>
          <w:tcPr>
            <w:tcW w:type="dxa" w:w="852"/>
            <w:vAlign w:val="center"/>
          </w:tcPr>
          <w:p>
            <w:r>
              <w:rPr>
                <w:sz w:val="15"/>
              </w:rPr>
              <w:t>FS-03</w:t>
            </w:r>
          </w:p>
        </w:tc>
        <w:tc>
          <w:tcPr>
            <w:tcW w:type="dxa" w:w="852"/>
            <w:vAlign w:val="center"/>
          </w:tcPr>
          <w:p>
            <w:r>
              <w:rPr>
                <w:sz w:val="15"/>
              </w:rPr>
              <w:t>DS-03</w:t>
            </w:r>
          </w:p>
        </w:tc>
        <w:tc>
          <w:tcPr>
            <w:tcW w:type="dxa" w:w="852"/>
            <w:vAlign w:val="center"/>
          </w:tcPr>
          <w:p>
            <w:r>
              <w:rPr>
                <w:sz w:val="15"/>
              </w:rPr>
              <w:t>FAT-03</w:t>
            </w:r>
          </w:p>
        </w:tc>
        <w:tc>
          <w:tcPr>
            <w:tcW w:type="dxa" w:w="852"/>
            <w:vAlign w:val="center"/>
          </w:tcPr>
          <w:p>
            <w:r>
              <w:rPr>
                <w:sz w:val="15"/>
              </w:rPr>
              <w:t>SAT-03</w:t>
            </w:r>
          </w:p>
        </w:tc>
        <w:tc>
          <w:tcPr>
            <w:tcW w:type="dxa" w:w="852"/>
            <w:vAlign w:val="center"/>
          </w:tcPr>
          <w:p>
            <w:r>
              <w:rPr>
                <w:sz w:val="15"/>
              </w:rPr>
              <w:t>IQ-03</w:t>
            </w:r>
          </w:p>
        </w:tc>
        <w:tc>
          <w:tcPr>
            <w:tcW w:type="dxa" w:w="852"/>
            <w:vAlign w:val="center"/>
          </w:tcPr>
          <w:p>
            <w:r>
              <w:rPr>
                <w:sz w:val="15"/>
              </w:rPr>
              <w:t>OQ-03</w:t>
            </w:r>
          </w:p>
        </w:tc>
        <w:tc>
          <w:tcPr>
            <w:tcW w:type="dxa" w:w="852"/>
            <w:vAlign w:val="center"/>
          </w:tcPr>
          <w:p>
            <w:r>
              <w:rPr>
                <w:sz w:val="15"/>
              </w:rPr>
              <w:t>PQ-03</w:t>
            </w:r>
          </w:p>
        </w:tc>
        <w:tc>
          <w:tcPr>
            <w:tcW w:type="dxa" w:w="852"/>
            <w:vAlign w:val="center"/>
          </w:tcPr>
          <w:p>
            <w:r>
              <w:rPr>
                <w:sz w:val="15"/>
              </w:rPr>
              <w:t>CSV-03</w:t>
            </w:r>
          </w:p>
        </w:tc>
        <w:tc>
          <w:tcPr>
            <w:tcW w:type="dxa" w:w="852"/>
            <w:vAlign w:val="center"/>
          </w:tcPr>
          <w:p>
            <w:r>
              <w:rPr>
                <w:sz w:val="15"/>
              </w:rPr>
              <w:t>Open</w:t>
            </w:r>
          </w:p>
        </w:tc>
      </w:tr>
      <w:tr>
        <w:tc>
          <w:tcPr>
            <w:tcW w:type="dxa" w:w="852"/>
            <w:vAlign w:val="center"/>
          </w:tcPr>
          <w:p>
            <w:r>
              <w:rPr>
                <w:sz w:val="15"/>
              </w:rPr>
              <w:t>CM-URS-066</w:t>
            </w:r>
          </w:p>
        </w:tc>
        <w:tc>
          <w:tcPr>
            <w:tcW w:type="dxa" w:w="852"/>
            <w:vAlign w:val="center"/>
          </w:tcPr>
          <w:p>
            <w:r>
              <w:rPr>
                <w:sz w:val="15"/>
              </w:rPr>
              <w:t>Audit trail</w:t>
            </w:r>
          </w:p>
        </w:tc>
        <w:tc>
          <w:tcPr>
            <w:tcW w:type="dxa" w:w="852"/>
            <w:vAlign w:val="center"/>
          </w:tcPr>
          <w:p>
            <w:r>
              <w:rPr>
                <w:sz w:val="15"/>
              </w:rPr>
              <w:t>Critical</w:t>
            </w:r>
          </w:p>
        </w:tc>
        <w:tc>
          <w:tcPr>
            <w:tcW w:type="dxa" w:w="852"/>
            <w:vAlign w:val="center"/>
          </w:tcPr>
          <w:p>
            <w:r>
              <w:rPr>
                <w:sz w:val="15"/>
              </w:rPr>
              <w:t>FS-04</w:t>
            </w:r>
          </w:p>
        </w:tc>
        <w:tc>
          <w:tcPr>
            <w:tcW w:type="dxa" w:w="852"/>
            <w:vAlign w:val="center"/>
          </w:tcPr>
          <w:p>
            <w:r>
              <w:rPr>
                <w:sz w:val="15"/>
              </w:rPr>
              <w:t>DS-04</w:t>
            </w:r>
          </w:p>
        </w:tc>
        <w:tc>
          <w:tcPr>
            <w:tcW w:type="dxa" w:w="852"/>
            <w:vAlign w:val="center"/>
          </w:tcPr>
          <w:p>
            <w:r>
              <w:rPr>
                <w:sz w:val="15"/>
              </w:rPr>
              <w:t>FAT-04</w:t>
            </w:r>
          </w:p>
        </w:tc>
        <w:tc>
          <w:tcPr>
            <w:tcW w:type="dxa" w:w="852"/>
            <w:vAlign w:val="center"/>
          </w:tcPr>
          <w:p>
            <w:r>
              <w:rPr>
                <w:sz w:val="15"/>
              </w:rPr>
              <w:t>SAT-04</w:t>
            </w:r>
          </w:p>
        </w:tc>
        <w:tc>
          <w:tcPr>
            <w:tcW w:type="dxa" w:w="852"/>
            <w:vAlign w:val="center"/>
          </w:tcPr>
          <w:p>
            <w:r>
              <w:rPr>
                <w:sz w:val="15"/>
              </w:rPr>
              <w:t>IQ-04</w:t>
            </w:r>
          </w:p>
        </w:tc>
        <w:tc>
          <w:tcPr>
            <w:tcW w:type="dxa" w:w="852"/>
            <w:vAlign w:val="center"/>
          </w:tcPr>
          <w:p>
            <w:r>
              <w:rPr>
                <w:sz w:val="15"/>
              </w:rPr>
              <w:t>OQ-04</w:t>
            </w:r>
          </w:p>
        </w:tc>
        <w:tc>
          <w:tcPr>
            <w:tcW w:type="dxa" w:w="852"/>
            <w:vAlign w:val="center"/>
          </w:tcPr>
          <w:p>
            <w:r>
              <w:rPr>
                <w:sz w:val="15"/>
              </w:rPr>
              <w:t>—</w:t>
            </w:r>
          </w:p>
        </w:tc>
        <w:tc>
          <w:tcPr>
            <w:tcW w:type="dxa" w:w="852"/>
            <w:vAlign w:val="center"/>
          </w:tcPr>
          <w:p>
            <w:r>
              <w:rPr>
                <w:sz w:val="15"/>
              </w:rPr>
              <w:t>CSV-04</w:t>
            </w:r>
          </w:p>
        </w:tc>
        <w:tc>
          <w:tcPr>
            <w:tcW w:type="dxa" w:w="852"/>
            <w:vAlign w:val="center"/>
          </w:tcPr>
          <w:p>
            <w:r>
              <w:rPr>
                <w:sz w:val="15"/>
              </w:rPr>
              <w:t>Open</w:t>
            </w:r>
          </w:p>
        </w:tc>
      </w:tr>
      <w:tr>
        <w:tc>
          <w:tcPr>
            <w:tcW w:type="dxa" w:w="852"/>
            <w:vAlign w:val="center"/>
          </w:tcPr>
          <w:p>
            <w:r>
              <w:rPr>
                <w:sz w:val="15"/>
              </w:rPr>
              <w:t>CM-URS-077</w:t>
            </w:r>
          </w:p>
        </w:tc>
        <w:tc>
          <w:tcPr>
            <w:tcW w:type="dxa" w:w="852"/>
            <w:vAlign w:val="center"/>
          </w:tcPr>
          <w:p>
            <w:r>
              <w:rPr>
                <w:sz w:val="15"/>
              </w:rPr>
              <w:t>Unique user access</w:t>
            </w:r>
          </w:p>
        </w:tc>
        <w:tc>
          <w:tcPr>
            <w:tcW w:type="dxa" w:w="852"/>
            <w:vAlign w:val="center"/>
          </w:tcPr>
          <w:p>
            <w:r>
              <w:rPr>
                <w:sz w:val="15"/>
              </w:rPr>
              <w:t>Critical</w:t>
            </w:r>
          </w:p>
        </w:tc>
        <w:tc>
          <w:tcPr>
            <w:tcW w:type="dxa" w:w="852"/>
            <w:vAlign w:val="center"/>
          </w:tcPr>
          <w:p>
            <w:r>
              <w:rPr>
                <w:sz w:val="15"/>
              </w:rPr>
              <w:t>FS-05</w:t>
            </w:r>
          </w:p>
        </w:tc>
        <w:tc>
          <w:tcPr>
            <w:tcW w:type="dxa" w:w="852"/>
            <w:vAlign w:val="center"/>
          </w:tcPr>
          <w:p>
            <w:r>
              <w:rPr>
                <w:sz w:val="15"/>
              </w:rPr>
              <w:t>DS-05</w:t>
            </w:r>
          </w:p>
        </w:tc>
        <w:tc>
          <w:tcPr>
            <w:tcW w:type="dxa" w:w="852"/>
            <w:vAlign w:val="center"/>
          </w:tcPr>
          <w:p>
            <w:r>
              <w:rPr>
                <w:sz w:val="15"/>
              </w:rPr>
              <w:t>FAT-05</w:t>
            </w:r>
          </w:p>
        </w:tc>
        <w:tc>
          <w:tcPr>
            <w:tcW w:type="dxa" w:w="852"/>
            <w:vAlign w:val="center"/>
          </w:tcPr>
          <w:p>
            <w:r>
              <w:rPr>
                <w:sz w:val="15"/>
              </w:rPr>
              <w:t>SAT-05</w:t>
            </w:r>
          </w:p>
        </w:tc>
        <w:tc>
          <w:tcPr>
            <w:tcW w:type="dxa" w:w="852"/>
            <w:vAlign w:val="center"/>
          </w:tcPr>
          <w:p>
            <w:r>
              <w:rPr>
                <w:sz w:val="15"/>
              </w:rPr>
              <w:t>IQ-05</w:t>
            </w:r>
          </w:p>
        </w:tc>
        <w:tc>
          <w:tcPr>
            <w:tcW w:type="dxa" w:w="852"/>
            <w:vAlign w:val="center"/>
          </w:tcPr>
          <w:p>
            <w:r>
              <w:rPr>
                <w:sz w:val="15"/>
              </w:rPr>
              <w:t>OQ-05</w:t>
            </w:r>
          </w:p>
        </w:tc>
        <w:tc>
          <w:tcPr>
            <w:tcW w:type="dxa" w:w="852"/>
            <w:vAlign w:val="center"/>
          </w:tcPr>
          <w:p>
            <w:r>
              <w:rPr>
                <w:sz w:val="15"/>
              </w:rPr>
              <w:t>—</w:t>
            </w:r>
          </w:p>
        </w:tc>
        <w:tc>
          <w:tcPr>
            <w:tcW w:type="dxa" w:w="852"/>
            <w:vAlign w:val="center"/>
          </w:tcPr>
          <w:p>
            <w:r>
              <w:rPr>
                <w:sz w:val="15"/>
              </w:rPr>
              <w:t>CSV-05</w:t>
            </w:r>
          </w:p>
        </w:tc>
        <w:tc>
          <w:tcPr>
            <w:tcW w:type="dxa" w:w="852"/>
            <w:vAlign w:val="center"/>
          </w:tcPr>
          <w:p>
            <w:r>
              <w:rPr>
                <w:sz w:val="15"/>
              </w:rPr>
              <w:t>Open</w:t>
            </w:r>
          </w:p>
        </w:tc>
      </w:tr>
    </w:tbl>
    <w:p/>
    <w:p>
      <w:pPr>
        <w:pStyle w:val="Heading1"/>
      </w:pPr>
      <w:r>
        <w:t>49. Vendor Technical Questionnaire</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Area</w:t>
            </w:r>
          </w:p>
        </w:tc>
        <w:tc>
          <w:tcPr>
            <w:tcW w:type="dxa" w:w="5112"/>
            <w:shd w:fill="D9EAF7"/>
          </w:tcPr>
          <w:p>
            <w:r>
              <w:rPr>
                <w:b/>
                <w:sz w:val="15"/>
              </w:rPr>
              <w:t>Vendor Response Required</w:t>
            </w:r>
          </w:p>
        </w:tc>
      </w:tr>
      <w:tr>
        <w:tc>
          <w:tcPr>
            <w:tcW w:type="dxa" w:w="5112"/>
            <w:vAlign w:val="center"/>
          </w:tcPr>
          <w:p>
            <w:r>
              <w:rPr>
                <w:sz w:val="15"/>
              </w:rPr>
              <w:t>Machine design</w:t>
            </w:r>
          </w:p>
        </w:tc>
        <w:tc>
          <w:tcPr>
            <w:tcW w:type="dxa" w:w="5112"/>
            <w:vAlign w:val="center"/>
          </w:tcPr>
          <w:p>
            <w:r>
              <w:rPr>
                <w:sz w:val="15"/>
              </w:rPr>
              <w:t>Capacity, operating envelope, drawings, materials and design philosophy.</w:t>
            </w:r>
          </w:p>
        </w:tc>
      </w:tr>
      <w:tr>
        <w:tc>
          <w:tcPr>
            <w:tcW w:type="dxa" w:w="5112"/>
            <w:vAlign w:val="center"/>
          </w:tcPr>
          <w:p>
            <w:r>
              <w:rPr>
                <w:sz w:val="15"/>
              </w:rPr>
              <w:t>Turret/tooling</w:t>
            </w:r>
          </w:p>
        </w:tc>
        <w:tc>
          <w:tcPr>
            <w:tcW w:type="dxa" w:w="5112"/>
            <w:vAlign w:val="center"/>
          </w:tcPr>
          <w:p>
            <w:r>
              <w:rPr>
                <w:sz w:val="15"/>
              </w:rPr>
              <w:t>Station count, tooling standards, materials, wear monitoring and changeover.</w:t>
            </w:r>
          </w:p>
        </w:tc>
      </w:tr>
      <w:tr>
        <w:tc>
          <w:tcPr>
            <w:tcW w:type="dxa" w:w="5112"/>
            <w:vAlign w:val="center"/>
          </w:tcPr>
          <w:p>
            <w:r>
              <w:rPr>
                <w:sz w:val="15"/>
              </w:rPr>
              <w:t>Feeder</w:t>
            </w:r>
          </w:p>
        </w:tc>
        <w:tc>
          <w:tcPr>
            <w:tcW w:type="dxa" w:w="5112"/>
            <w:vAlign w:val="center"/>
          </w:tcPr>
          <w:p>
            <w:r>
              <w:rPr>
                <w:sz w:val="15"/>
              </w:rPr>
              <w:t>Feeder design, speed range, monitoring, cleaning and failure response.</w:t>
            </w:r>
          </w:p>
        </w:tc>
      </w:tr>
      <w:tr>
        <w:tc>
          <w:tcPr>
            <w:tcW w:type="dxa" w:w="5112"/>
            <w:vAlign w:val="center"/>
          </w:tcPr>
          <w:p>
            <w:r>
              <w:rPr>
                <w:sz w:val="15"/>
              </w:rPr>
              <w:t>Compression</w:t>
            </w:r>
          </w:p>
        </w:tc>
        <w:tc>
          <w:tcPr>
            <w:tcW w:type="dxa" w:w="5112"/>
            <w:vAlign w:val="center"/>
          </w:tcPr>
          <w:p>
            <w:r>
              <w:rPr>
                <w:sz w:val="15"/>
              </w:rPr>
              <w:t>Pre/main compression, force monitoring, protection and adjustment.</w:t>
            </w:r>
          </w:p>
        </w:tc>
      </w:tr>
      <w:tr>
        <w:tc>
          <w:tcPr>
            <w:tcW w:type="dxa" w:w="5112"/>
            <w:vAlign w:val="center"/>
          </w:tcPr>
          <w:p>
            <w:r>
              <w:rPr>
                <w:sz w:val="15"/>
              </w:rPr>
              <w:t>Weight control</w:t>
            </w:r>
          </w:p>
        </w:tc>
        <w:tc>
          <w:tcPr>
            <w:tcW w:type="dxa" w:w="5112"/>
            <w:vAlign w:val="center"/>
          </w:tcPr>
          <w:p>
            <w:r>
              <w:rPr>
                <w:sz w:val="15"/>
              </w:rPr>
              <w:t>Control philosophy, measurement, limits, algorithms and data.</w:t>
            </w:r>
          </w:p>
        </w:tc>
      </w:tr>
      <w:tr>
        <w:tc>
          <w:tcPr>
            <w:tcW w:type="dxa" w:w="5112"/>
            <w:vAlign w:val="center"/>
          </w:tcPr>
          <w:p>
            <w:r>
              <w:rPr>
                <w:sz w:val="15"/>
              </w:rPr>
              <w:t>Reject system</w:t>
            </w:r>
          </w:p>
        </w:tc>
        <w:tc>
          <w:tcPr>
            <w:tcW w:type="dxa" w:w="5112"/>
            <w:vAlign w:val="center"/>
          </w:tcPr>
          <w:p>
            <w:r>
              <w:rPr>
                <w:sz w:val="15"/>
              </w:rPr>
              <w:t>Logic, confirmation, segregation, fail-safe behavior and records.</w:t>
            </w:r>
          </w:p>
        </w:tc>
      </w:tr>
      <w:tr>
        <w:tc>
          <w:tcPr>
            <w:tcW w:type="dxa" w:w="5112"/>
            <w:vAlign w:val="center"/>
          </w:tcPr>
          <w:p>
            <w:r>
              <w:rPr>
                <w:sz w:val="15"/>
              </w:rPr>
              <w:t>Dust extraction</w:t>
            </w:r>
          </w:p>
        </w:tc>
        <w:tc>
          <w:tcPr>
            <w:tcW w:type="dxa" w:w="5112"/>
            <w:vAlign w:val="center"/>
          </w:tcPr>
          <w:p>
            <w:r>
              <w:rPr>
                <w:sz w:val="15"/>
              </w:rPr>
              <w:t>Connections, airflow requirements, filters, monitoring and containment.</w:t>
            </w:r>
          </w:p>
        </w:tc>
      </w:tr>
      <w:tr>
        <w:tc>
          <w:tcPr>
            <w:tcW w:type="dxa" w:w="5112"/>
            <w:vAlign w:val="center"/>
          </w:tcPr>
          <w:p>
            <w:r>
              <w:rPr>
                <w:sz w:val="15"/>
              </w:rPr>
              <w:t>Controls</w:t>
            </w:r>
          </w:p>
        </w:tc>
        <w:tc>
          <w:tcPr>
            <w:tcW w:type="dxa" w:w="5112"/>
            <w:vAlign w:val="center"/>
          </w:tcPr>
          <w:p>
            <w:r>
              <w:rPr>
                <w:sz w:val="15"/>
              </w:rPr>
              <w:t>PLC/HMI/SCADA architecture and software lifecycle.</w:t>
            </w:r>
          </w:p>
        </w:tc>
      </w:tr>
      <w:tr>
        <w:tc>
          <w:tcPr>
            <w:tcW w:type="dxa" w:w="5112"/>
            <w:vAlign w:val="center"/>
          </w:tcPr>
          <w:p>
            <w:r>
              <w:rPr>
                <w:sz w:val="15"/>
              </w:rPr>
              <w:t>Recipe</w:t>
            </w:r>
          </w:p>
        </w:tc>
        <w:tc>
          <w:tcPr>
            <w:tcW w:type="dxa" w:w="5112"/>
            <w:vAlign w:val="center"/>
          </w:tcPr>
          <w:p>
            <w:r>
              <w:rPr>
                <w:sz w:val="15"/>
              </w:rPr>
              <w:t>Creation, approval, versioning, protection, audit trail and backup.</w:t>
            </w:r>
          </w:p>
        </w:tc>
      </w:tr>
      <w:tr>
        <w:tc>
          <w:tcPr>
            <w:tcW w:type="dxa" w:w="5112"/>
            <w:vAlign w:val="center"/>
          </w:tcPr>
          <w:p>
            <w:r>
              <w:rPr>
                <w:sz w:val="15"/>
              </w:rPr>
              <w:t>CSV</w:t>
            </w:r>
          </w:p>
        </w:tc>
        <w:tc>
          <w:tcPr>
            <w:tcW w:type="dxa" w:w="5112"/>
            <w:vAlign w:val="center"/>
          </w:tcPr>
          <w:p>
            <w:r>
              <w:rPr>
                <w:sz w:val="15"/>
              </w:rPr>
              <w:t>GxP impact, validation deliverables, test support and traceability.</w:t>
            </w:r>
          </w:p>
        </w:tc>
      </w:tr>
      <w:tr>
        <w:tc>
          <w:tcPr>
            <w:tcW w:type="dxa" w:w="5112"/>
            <w:vAlign w:val="center"/>
          </w:tcPr>
          <w:p>
            <w:r>
              <w:rPr>
                <w:sz w:val="15"/>
              </w:rPr>
              <w:t>Part 11/Annex 11</w:t>
            </w:r>
          </w:p>
        </w:tc>
        <w:tc>
          <w:tcPr>
            <w:tcW w:type="dxa" w:w="5112"/>
            <w:vAlign w:val="center"/>
          </w:tcPr>
          <w:p>
            <w:r>
              <w:rPr>
                <w:sz w:val="15"/>
              </w:rPr>
              <w:t>Electronic records/signatures, access, audit trail and data integrity.</w:t>
            </w:r>
          </w:p>
        </w:tc>
      </w:tr>
      <w:tr>
        <w:tc>
          <w:tcPr>
            <w:tcW w:type="dxa" w:w="5112"/>
            <w:vAlign w:val="center"/>
          </w:tcPr>
          <w:p>
            <w:r>
              <w:rPr>
                <w:sz w:val="15"/>
              </w:rPr>
              <w:t>Cybersecurity</w:t>
            </w:r>
          </w:p>
        </w:tc>
        <w:tc>
          <w:tcPr>
            <w:tcW w:type="dxa" w:w="5112"/>
            <w:vAlign w:val="center"/>
          </w:tcPr>
          <w:p>
            <w:r>
              <w:rPr>
                <w:sz w:val="15"/>
              </w:rPr>
              <w:t>Network, remote access, patching, hardening, security logging and backups.</w:t>
            </w:r>
          </w:p>
        </w:tc>
      </w:tr>
      <w:tr>
        <w:tc>
          <w:tcPr>
            <w:tcW w:type="dxa" w:w="5112"/>
            <w:vAlign w:val="center"/>
          </w:tcPr>
          <w:p>
            <w:r>
              <w:rPr>
                <w:sz w:val="15"/>
              </w:rPr>
              <w:t>Interfaces</w:t>
            </w:r>
          </w:p>
        </w:tc>
        <w:tc>
          <w:tcPr>
            <w:tcW w:type="dxa" w:w="5112"/>
            <w:vAlign w:val="center"/>
          </w:tcPr>
          <w:p>
            <w:r>
              <w:rPr>
                <w:sz w:val="15"/>
              </w:rPr>
              <w:t>Deduster, metal detector, checkweigher, conveyor, SCADA/MES/eBR.</w:t>
            </w:r>
          </w:p>
        </w:tc>
      </w:tr>
      <w:tr>
        <w:tc>
          <w:tcPr>
            <w:tcW w:type="dxa" w:w="5112"/>
            <w:vAlign w:val="center"/>
          </w:tcPr>
          <w:p>
            <w:r>
              <w:rPr>
                <w:sz w:val="15"/>
              </w:rPr>
              <w:t>FAT/SAT/IQ/OQ/PQ</w:t>
            </w:r>
          </w:p>
        </w:tc>
        <w:tc>
          <w:tcPr>
            <w:tcW w:type="dxa" w:w="5112"/>
            <w:vAlign w:val="center"/>
          </w:tcPr>
          <w:p>
            <w:r>
              <w:rPr>
                <w:sz w:val="15"/>
              </w:rPr>
              <w:t>Protocols, responsibilities, test evidence and deviation handling.</w:t>
            </w:r>
          </w:p>
        </w:tc>
      </w:tr>
      <w:tr>
        <w:tc>
          <w:tcPr>
            <w:tcW w:type="dxa" w:w="5112"/>
            <w:vAlign w:val="center"/>
          </w:tcPr>
          <w:p>
            <w:r>
              <w:rPr>
                <w:sz w:val="15"/>
              </w:rPr>
              <w:t>Training</w:t>
            </w:r>
          </w:p>
        </w:tc>
        <w:tc>
          <w:tcPr>
            <w:tcW w:type="dxa" w:w="5112"/>
            <w:vAlign w:val="center"/>
          </w:tcPr>
          <w:p>
            <w:r>
              <w:rPr>
                <w:sz w:val="15"/>
              </w:rPr>
              <w:t>Operator, maintenance, engineering, QA/CSV/IT training.</w:t>
            </w:r>
          </w:p>
        </w:tc>
      </w:tr>
      <w:tr>
        <w:tc>
          <w:tcPr>
            <w:tcW w:type="dxa" w:w="5112"/>
            <w:vAlign w:val="center"/>
          </w:tcPr>
          <w:p>
            <w:r>
              <w:rPr>
                <w:sz w:val="15"/>
              </w:rPr>
              <w:t>Spares/maintenance</w:t>
            </w:r>
          </w:p>
        </w:tc>
        <w:tc>
          <w:tcPr>
            <w:tcW w:type="dxa" w:w="5112"/>
            <w:vAlign w:val="center"/>
          </w:tcPr>
          <w:p>
            <w:r>
              <w:rPr>
                <w:sz w:val="15"/>
              </w:rPr>
              <w:t>Critical spares, PM, obsolescence and service support.</w:t>
            </w:r>
          </w:p>
        </w:tc>
      </w:tr>
    </w:tbl>
    <w:p/>
    <w:p>
      <w:pPr>
        <w:pStyle w:val="Heading1"/>
      </w:pPr>
      <w:r>
        <w:t>50. Sample FMEA / Risk Assessment</w:t>
      </w:r>
    </w:p>
    <w:tbl>
      <w:tblPr>
        <w:tblStyle w:val="TableGrid"/>
        <w:tblW w:type="auto" w:w="0"/>
        <w:jc w:val="center"/>
        <w:tblLook w:firstColumn="1" w:firstRow="1" w:lastColumn="0" w:lastRow="0" w:noHBand="0" w:noVBand="1" w:val="04A0"/>
      </w:tblPr>
      <w:tblGrid>
        <w:gridCol w:w="1461"/>
        <w:gridCol w:w="1461"/>
        <w:gridCol w:w="1461"/>
        <w:gridCol w:w="1461"/>
        <w:gridCol w:w="1461"/>
        <w:gridCol w:w="1461"/>
        <w:gridCol w:w="1461"/>
      </w:tblGrid>
      <w:tr>
        <w:trPr>
          <w:tblHeader w:val="true"/>
        </w:trPr>
        <w:tc>
          <w:tcPr>
            <w:tcW w:type="dxa" w:w="1461"/>
            <w:shd w:fill="D9EAF7"/>
          </w:tcPr>
          <w:p>
            <w:r>
              <w:rPr>
                <w:b/>
                <w:sz w:val="15"/>
              </w:rPr>
              <w:t>Failure Mode</w:t>
            </w:r>
          </w:p>
        </w:tc>
        <w:tc>
          <w:tcPr>
            <w:tcW w:type="dxa" w:w="1461"/>
            <w:shd w:fill="D9EAF7"/>
          </w:tcPr>
          <w:p>
            <w:r>
              <w:rPr>
                <w:b/>
                <w:sz w:val="15"/>
              </w:rPr>
              <w:t>Potential Impact</w:t>
            </w:r>
          </w:p>
        </w:tc>
        <w:tc>
          <w:tcPr>
            <w:tcW w:type="dxa" w:w="1461"/>
            <w:shd w:fill="D9EAF7"/>
          </w:tcPr>
          <w:p>
            <w:r>
              <w:rPr>
                <w:b/>
                <w:sz w:val="15"/>
              </w:rPr>
              <w:t>GMP Impact</w:t>
            </w:r>
          </w:p>
        </w:tc>
        <w:tc>
          <w:tcPr>
            <w:tcW w:type="dxa" w:w="1461"/>
            <w:shd w:fill="D9EAF7"/>
          </w:tcPr>
          <w:p>
            <w:r>
              <w:rPr>
                <w:b/>
                <w:sz w:val="15"/>
              </w:rPr>
              <w:t>Product/Patient Impact</w:t>
            </w:r>
          </w:p>
        </w:tc>
        <w:tc>
          <w:tcPr>
            <w:tcW w:type="dxa" w:w="1461"/>
            <w:shd w:fill="D9EAF7"/>
          </w:tcPr>
          <w:p>
            <w:r>
              <w:rPr>
                <w:b/>
                <w:sz w:val="15"/>
              </w:rPr>
              <w:t>Existing Control</w:t>
            </w:r>
          </w:p>
        </w:tc>
        <w:tc>
          <w:tcPr>
            <w:tcW w:type="dxa" w:w="1461"/>
            <w:shd w:fill="D9EAF7"/>
          </w:tcPr>
          <w:p>
            <w:r>
              <w:rPr>
                <w:b/>
                <w:sz w:val="15"/>
              </w:rPr>
              <w:t>Risk</w:t>
            </w:r>
          </w:p>
        </w:tc>
        <w:tc>
          <w:tcPr>
            <w:tcW w:type="dxa" w:w="1461"/>
            <w:shd w:fill="D9EAF7"/>
          </w:tcPr>
          <w:p>
            <w:r>
              <w:rPr>
                <w:b/>
                <w:sz w:val="15"/>
              </w:rPr>
              <w:t>Mitigation</w:t>
            </w:r>
          </w:p>
        </w:tc>
      </w:tr>
      <w:tr>
        <w:tc>
          <w:tcPr>
            <w:tcW w:type="dxa" w:w="1461"/>
            <w:vAlign w:val="center"/>
          </w:tcPr>
          <w:p>
            <w:r>
              <w:rPr>
                <w:sz w:val="15"/>
              </w:rPr>
              <w:t>Excessive compression force</w:t>
            </w:r>
          </w:p>
        </w:tc>
        <w:tc>
          <w:tcPr>
            <w:tcW w:type="dxa" w:w="1461"/>
            <w:vAlign w:val="center"/>
          </w:tcPr>
          <w:p>
            <w:r>
              <w:rPr>
                <w:sz w:val="15"/>
              </w:rPr>
              <w:t>Tool/machine damage or tablet defect</w:t>
            </w:r>
          </w:p>
        </w:tc>
        <w:tc>
          <w:tcPr>
            <w:tcW w:type="dxa" w:w="1461"/>
            <w:vAlign w:val="center"/>
          </w:tcPr>
          <w:p>
            <w:r>
              <w:rPr>
                <w:sz w:val="15"/>
              </w:rPr>
              <w:t>Potential GMP impact</w:t>
            </w:r>
          </w:p>
        </w:tc>
        <w:tc>
          <w:tcPr>
            <w:tcW w:type="dxa" w:w="1461"/>
            <w:vAlign w:val="center"/>
          </w:tcPr>
          <w:p>
            <w:r>
              <w:rPr>
                <w:sz w:val="15"/>
              </w:rPr>
              <w:t>Potential quality impact</w:t>
            </w:r>
          </w:p>
        </w:tc>
        <w:tc>
          <w:tcPr>
            <w:tcW w:type="dxa" w:w="1461"/>
            <w:vAlign w:val="center"/>
          </w:tcPr>
          <w:p>
            <w:r>
              <w:rPr>
                <w:sz w:val="15"/>
              </w:rPr>
              <w:t>Force monitoring/protection</w:t>
            </w:r>
          </w:p>
        </w:tc>
        <w:tc>
          <w:tcPr>
            <w:tcW w:type="dxa" w:w="1461"/>
            <w:vAlign w:val="center"/>
          </w:tcPr>
          <w:p>
            <w:r>
              <w:rPr>
                <w:sz w:val="15"/>
              </w:rPr>
              <w:t>High</w:t>
            </w:r>
          </w:p>
        </w:tc>
        <w:tc>
          <w:tcPr>
            <w:tcW w:type="dxa" w:w="1461"/>
            <w:vAlign w:val="center"/>
          </w:tcPr>
          <w:p>
            <w:r>
              <w:rPr>
                <w:sz w:val="15"/>
              </w:rPr>
              <w:t>Validated force limits, alarms, maintenance</w:t>
            </w:r>
          </w:p>
        </w:tc>
      </w:tr>
      <w:tr>
        <w:tc>
          <w:tcPr>
            <w:tcW w:type="dxa" w:w="1461"/>
            <w:vAlign w:val="center"/>
          </w:tcPr>
          <w:p>
            <w:r>
              <w:rPr>
                <w:sz w:val="15"/>
              </w:rPr>
              <w:t>Low compression force</w:t>
            </w:r>
          </w:p>
        </w:tc>
        <w:tc>
          <w:tcPr>
            <w:tcW w:type="dxa" w:w="1461"/>
            <w:vAlign w:val="center"/>
          </w:tcPr>
          <w:p>
            <w:r>
              <w:rPr>
                <w:sz w:val="15"/>
              </w:rPr>
              <w:t>Weak/inadequate tablet</w:t>
            </w:r>
          </w:p>
        </w:tc>
        <w:tc>
          <w:tcPr>
            <w:tcW w:type="dxa" w:w="1461"/>
            <w:vAlign w:val="center"/>
          </w:tcPr>
          <w:p>
            <w:r>
              <w:rPr>
                <w:sz w:val="15"/>
              </w:rPr>
              <w:t>Product quality</w:t>
            </w:r>
          </w:p>
        </w:tc>
        <w:tc>
          <w:tcPr>
            <w:tcW w:type="dxa" w:w="1461"/>
            <w:vAlign w:val="center"/>
          </w:tcPr>
          <w:p>
            <w:r>
              <w:rPr>
                <w:sz w:val="15"/>
              </w:rPr>
              <w:t>Potential dose/formulation performance impact</w:t>
            </w:r>
          </w:p>
        </w:tc>
        <w:tc>
          <w:tcPr>
            <w:tcW w:type="dxa" w:w="1461"/>
            <w:vAlign w:val="center"/>
          </w:tcPr>
          <w:p>
            <w:r>
              <w:rPr>
                <w:sz w:val="15"/>
              </w:rPr>
              <w:t>Force monitoring</w:t>
            </w:r>
          </w:p>
        </w:tc>
        <w:tc>
          <w:tcPr>
            <w:tcW w:type="dxa" w:w="1461"/>
            <w:vAlign w:val="center"/>
          </w:tcPr>
          <w:p>
            <w:r>
              <w:rPr>
                <w:sz w:val="15"/>
              </w:rPr>
              <w:t>High</w:t>
            </w:r>
          </w:p>
        </w:tc>
        <w:tc>
          <w:tcPr>
            <w:tcW w:type="dxa" w:w="1461"/>
            <w:vAlign w:val="center"/>
          </w:tcPr>
          <w:p>
            <w:r>
              <w:rPr>
                <w:sz w:val="15"/>
              </w:rPr>
              <w:t>Validated force monitoring and process controls</w:t>
            </w:r>
          </w:p>
        </w:tc>
      </w:tr>
      <w:tr>
        <w:tc>
          <w:tcPr>
            <w:tcW w:type="dxa" w:w="1461"/>
            <w:vAlign w:val="center"/>
          </w:tcPr>
          <w:p>
            <w:r>
              <w:rPr>
                <w:sz w:val="15"/>
              </w:rPr>
              <w:t>Force sensor failure</w:t>
            </w:r>
          </w:p>
        </w:tc>
        <w:tc>
          <w:tcPr>
            <w:tcW w:type="dxa" w:w="1461"/>
            <w:vAlign w:val="center"/>
          </w:tcPr>
          <w:p>
            <w:r>
              <w:rPr>
                <w:sz w:val="15"/>
              </w:rPr>
              <w:t>Incorrect force indication</w:t>
            </w:r>
          </w:p>
        </w:tc>
        <w:tc>
          <w:tcPr>
            <w:tcW w:type="dxa" w:w="1461"/>
            <w:vAlign w:val="center"/>
          </w:tcPr>
          <w:p>
            <w:r>
              <w:rPr>
                <w:sz w:val="15"/>
              </w:rPr>
              <w:t>Data/process control risk</w:t>
            </w:r>
          </w:p>
        </w:tc>
        <w:tc>
          <w:tcPr>
            <w:tcW w:type="dxa" w:w="1461"/>
            <w:vAlign w:val="center"/>
          </w:tcPr>
          <w:p>
            <w:r>
              <w:rPr>
                <w:sz w:val="15"/>
              </w:rPr>
              <w:t>Potential quality impact</w:t>
            </w:r>
          </w:p>
        </w:tc>
        <w:tc>
          <w:tcPr>
            <w:tcW w:type="dxa" w:w="1461"/>
            <w:vAlign w:val="center"/>
          </w:tcPr>
          <w:p>
            <w:r>
              <w:rPr>
                <w:sz w:val="15"/>
              </w:rPr>
              <w:t>Sensor diagnostics</w:t>
            </w:r>
          </w:p>
        </w:tc>
        <w:tc>
          <w:tcPr>
            <w:tcW w:type="dxa" w:w="1461"/>
            <w:vAlign w:val="center"/>
          </w:tcPr>
          <w:p>
            <w:r>
              <w:rPr>
                <w:sz w:val="15"/>
              </w:rPr>
              <w:t>High</w:t>
            </w:r>
          </w:p>
        </w:tc>
        <w:tc>
          <w:tcPr>
            <w:tcW w:type="dxa" w:w="1461"/>
            <w:vAlign w:val="center"/>
          </w:tcPr>
          <w:p>
            <w:r>
              <w:rPr>
                <w:sz w:val="15"/>
              </w:rPr>
              <w:t>Calibration, failure alarm, controlled response</w:t>
            </w:r>
          </w:p>
        </w:tc>
      </w:tr>
      <w:tr>
        <w:tc>
          <w:tcPr>
            <w:tcW w:type="dxa" w:w="1461"/>
            <w:vAlign w:val="center"/>
          </w:tcPr>
          <w:p>
            <w:r>
              <w:rPr>
                <w:sz w:val="15"/>
              </w:rPr>
              <w:t>Feeder failure</w:t>
            </w:r>
          </w:p>
        </w:tc>
        <w:tc>
          <w:tcPr>
            <w:tcW w:type="dxa" w:w="1461"/>
            <w:vAlign w:val="center"/>
          </w:tcPr>
          <w:p>
            <w:r>
              <w:rPr>
                <w:sz w:val="15"/>
              </w:rPr>
              <w:t>Weight variation</w:t>
            </w:r>
          </w:p>
        </w:tc>
        <w:tc>
          <w:tcPr>
            <w:tcW w:type="dxa" w:w="1461"/>
            <w:vAlign w:val="center"/>
          </w:tcPr>
          <w:p>
            <w:r>
              <w:rPr>
                <w:sz w:val="15"/>
              </w:rPr>
              <w:t>GMP/product quality</w:t>
            </w:r>
          </w:p>
        </w:tc>
        <w:tc>
          <w:tcPr>
            <w:tcW w:type="dxa" w:w="1461"/>
            <w:vAlign w:val="center"/>
          </w:tcPr>
          <w:p>
            <w:r>
              <w:rPr>
                <w:sz w:val="15"/>
              </w:rPr>
              <w:t>Potential dose-related impact</w:t>
            </w:r>
          </w:p>
        </w:tc>
        <w:tc>
          <w:tcPr>
            <w:tcW w:type="dxa" w:w="1461"/>
            <w:vAlign w:val="center"/>
          </w:tcPr>
          <w:p>
            <w:r>
              <w:rPr>
                <w:sz w:val="15"/>
              </w:rPr>
              <w:t>Feeder monitoring</w:t>
            </w:r>
          </w:p>
        </w:tc>
        <w:tc>
          <w:tcPr>
            <w:tcW w:type="dxa" w:w="1461"/>
            <w:vAlign w:val="center"/>
          </w:tcPr>
          <w:p>
            <w:r>
              <w:rPr>
                <w:sz w:val="15"/>
              </w:rPr>
              <w:t>High</w:t>
            </w:r>
          </w:p>
        </w:tc>
        <w:tc>
          <w:tcPr>
            <w:tcW w:type="dxa" w:w="1461"/>
            <w:vAlign w:val="center"/>
          </w:tcPr>
          <w:p>
            <w:r>
              <w:rPr>
                <w:sz w:val="15"/>
              </w:rPr>
              <w:t>Alarm, controlled stop/recovery</w:t>
            </w:r>
          </w:p>
        </w:tc>
      </w:tr>
      <w:tr>
        <w:tc>
          <w:tcPr>
            <w:tcW w:type="dxa" w:w="1461"/>
            <w:vAlign w:val="center"/>
          </w:tcPr>
          <w:p>
            <w:r>
              <w:rPr>
                <w:sz w:val="15"/>
              </w:rPr>
              <w:t>Turret speed failure</w:t>
            </w:r>
          </w:p>
        </w:tc>
        <w:tc>
          <w:tcPr>
            <w:tcW w:type="dxa" w:w="1461"/>
            <w:vAlign w:val="center"/>
          </w:tcPr>
          <w:p>
            <w:r>
              <w:rPr>
                <w:sz w:val="15"/>
              </w:rPr>
              <w:t>Process instability</w:t>
            </w:r>
          </w:p>
        </w:tc>
        <w:tc>
          <w:tcPr>
            <w:tcW w:type="dxa" w:w="1461"/>
            <w:vAlign w:val="center"/>
          </w:tcPr>
          <w:p>
            <w:r>
              <w:rPr>
                <w:sz w:val="15"/>
              </w:rPr>
              <w:t>GMP/process risk</w:t>
            </w:r>
          </w:p>
        </w:tc>
        <w:tc>
          <w:tcPr>
            <w:tcW w:type="dxa" w:w="1461"/>
            <w:vAlign w:val="center"/>
          </w:tcPr>
          <w:p>
            <w:r>
              <w:rPr>
                <w:sz w:val="15"/>
              </w:rPr>
              <w:t>Potential quality impact</w:t>
            </w:r>
          </w:p>
        </w:tc>
        <w:tc>
          <w:tcPr>
            <w:tcW w:type="dxa" w:w="1461"/>
            <w:vAlign w:val="center"/>
          </w:tcPr>
          <w:p>
            <w:r>
              <w:rPr>
                <w:sz w:val="15"/>
              </w:rPr>
              <w:t>Speed feedback</w:t>
            </w:r>
          </w:p>
        </w:tc>
        <w:tc>
          <w:tcPr>
            <w:tcW w:type="dxa" w:w="1461"/>
            <w:vAlign w:val="center"/>
          </w:tcPr>
          <w:p>
            <w:r>
              <w:rPr>
                <w:sz w:val="15"/>
              </w:rPr>
              <w:t>High</w:t>
            </w:r>
          </w:p>
        </w:tc>
        <w:tc>
          <w:tcPr>
            <w:tcW w:type="dxa" w:w="1461"/>
            <w:vAlign w:val="center"/>
          </w:tcPr>
          <w:p>
            <w:r>
              <w:rPr>
                <w:sz w:val="15"/>
              </w:rPr>
              <w:t>Alarm and validated operating limits</w:t>
            </w:r>
          </w:p>
        </w:tc>
      </w:tr>
      <w:tr>
        <w:tc>
          <w:tcPr>
            <w:tcW w:type="dxa" w:w="1461"/>
            <w:vAlign w:val="center"/>
          </w:tcPr>
          <w:p>
            <w:r>
              <w:rPr>
                <w:sz w:val="15"/>
              </w:rPr>
              <w:t>Weight-control failure</w:t>
            </w:r>
          </w:p>
        </w:tc>
        <w:tc>
          <w:tcPr>
            <w:tcW w:type="dxa" w:w="1461"/>
            <w:vAlign w:val="center"/>
          </w:tcPr>
          <w:p>
            <w:r>
              <w:rPr>
                <w:sz w:val="15"/>
              </w:rPr>
              <w:t>Out-of-limit tablet weight</w:t>
            </w:r>
          </w:p>
        </w:tc>
        <w:tc>
          <w:tcPr>
            <w:tcW w:type="dxa" w:w="1461"/>
            <w:vAlign w:val="center"/>
          </w:tcPr>
          <w:p>
            <w:r>
              <w:rPr>
                <w:sz w:val="15"/>
              </w:rPr>
              <w:t>GMP/product quality</w:t>
            </w:r>
          </w:p>
        </w:tc>
        <w:tc>
          <w:tcPr>
            <w:tcW w:type="dxa" w:w="1461"/>
            <w:vAlign w:val="center"/>
          </w:tcPr>
          <w:p>
            <w:r>
              <w:rPr>
                <w:sz w:val="15"/>
              </w:rPr>
              <w:t>Potential quality impact</w:t>
            </w:r>
          </w:p>
        </w:tc>
        <w:tc>
          <w:tcPr>
            <w:tcW w:type="dxa" w:w="1461"/>
            <w:vAlign w:val="center"/>
          </w:tcPr>
          <w:p>
            <w:r>
              <w:rPr>
                <w:sz w:val="15"/>
              </w:rPr>
              <w:t>IPC/automatic control</w:t>
            </w:r>
          </w:p>
        </w:tc>
        <w:tc>
          <w:tcPr>
            <w:tcW w:type="dxa" w:w="1461"/>
            <w:vAlign w:val="center"/>
          </w:tcPr>
          <w:p>
            <w:r>
              <w:rPr>
                <w:sz w:val="15"/>
              </w:rPr>
              <w:t>High</w:t>
            </w:r>
          </w:p>
        </w:tc>
        <w:tc>
          <w:tcPr>
            <w:tcW w:type="dxa" w:w="1461"/>
            <w:vAlign w:val="center"/>
          </w:tcPr>
          <w:p>
            <w:r>
              <w:rPr>
                <w:sz w:val="15"/>
              </w:rPr>
              <w:t>Fail-safe strategy and reject/control</w:t>
            </w:r>
          </w:p>
        </w:tc>
      </w:tr>
      <w:tr>
        <w:tc>
          <w:tcPr>
            <w:tcW w:type="dxa" w:w="1461"/>
            <w:vAlign w:val="center"/>
          </w:tcPr>
          <w:p>
            <w:r>
              <w:rPr>
                <w:sz w:val="15"/>
              </w:rPr>
              <w:t>Incorrect recipe</w:t>
            </w:r>
          </w:p>
        </w:tc>
        <w:tc>
          <w:tcPr>
            <w:tcW w:type="dxa" w:w="1461"/>
            <w:vAlign w:val="center"/>
          </w:tcPr>
          <w:p>
            <w:r>
              <w:rPr>
                <w:sz w:val="15"/>
              </w:rPr>
              <w:t>Wrong process settings</w:t>
            </w:r>
          </w:p>
        </w:tc>
        <w:tc>
          <w:tcPr>
            <w:tcW w:type="dxa" w:w="1461"/>
            <w:vAlign w:val="center"/>
          </w:tcPr>
          <w:p>
            <w:r>
              <w:rPr>
                <w:sz w:val="15"/>
              </w:rPr>
              <w:t>GMP critical</w:t>
            </w:r>
          </w:p>
        </w:tc>
        <w:tc>
          <w:tcPr>
            <w:tcW w:type="dxa" w:w="1461"/>
            <w:vAlign w:val="center"/>
          </w:tcPr>
          <w:p>
            <w:r>
              <w:rPr>
                <w:sz w:val="15"/>
              </w:rPr>
              <w:t>Potential product quality impact</w:t>
            </w:r>
          </w:p>
        </w:tc>
        <w:tc>
          <w:tcPr>
            <w:tcW w:type="dxa" w:w="1461"/>
            <w:vAlign w:val="center"/>
          </w:tcPr>
          <w:p>
            <w:r>
              <w:rPr>
                <w:sz w:val="15"/>
              </w:rPr>
              <w:t>Access control/versioning</w:t>
            </w:r>
          </w:p>
        </w:tc>
        <w:tc>
          <w:tcPr>
            <w:tcW w:type="dxa" w:w="1461"/>
            <w:vAlign w:val="center"/>
          </w:tcPr>
          <w:p>
            <w:r>
              <w:rPr>
                <w:sz w:val="15"/>
              </w:rPr>
              <w:t>High</w:t>
            </w:r>
          </w:p>
        </w:tc>
        <w:tc>
          <w:tcPr>
            <w:tcW w:type="dxa" w:w="1461"/>
            <w:vAlign w:val="center"/>
          </w:tcPr>
          <w:p>
            <w:r>
              <w:rPr>
                <w:sz w:val="15"/>
              </w:rPr>
              <w:t>Recipe approval and audit trail</w:t>
            </w:r>
          </w:p>
        </w:tc>
      </w:tr>
      <w:tr>
        <w:tc>
          <w:tcPr>
            <w:tcW w:type="dxa" w:w="1461"/>
            <w:vAlign w:val="center"/>
          </w:tcPr>
          <w:p>
            <w:r>
              <w:rPr>
                <w:sz w:val="15"/>
              </w:rPr>
              <w:t>Unauthorized parameter change</w:t>
            </w:r>
          </w:p>
        </w:tc>
        <w:tc>
          <w:tcPr>
            <w:tcW w:type="dxa" w:w="1461"/>
            <w:vAlign w:val="center"/>
          </w:tcPr>
          <w:p>
            <w:r>
              <w:rPr>
                <w:sz w:val="15"/>
              </w:rPr>
              <w:t>Unapproved process</w:t>
            </w:r>
          </w:p>
        </w:tc>
        <w:tc>
          <w:tcPr>
            <w:tcW w:type="dxa" w:w="1461"/>
            <w:vAlign w:val="center"/>
          </w:tcPr>
          <w:p>
            <w:r>
              <w:rPr>
                <w:sz w:val="15"/>
              </w:rPr>
              <w:t>Data integrity/GMP</w:t>
            </w:r>
          </w:p>
        </w:tc>
        <w:tc>
          <w:tcPr>
            <w:tcW w:type="dxa" w:w="1461"/>
            <w:vAlign w:val="center"/>
          </w:tcPr>
          <w:p>
            <w:r>
              <w:rPr>
                <w:sz w:val="15"/>
              </w:rPr>
              <w:t>Potential quality impact</w:t>
            </w:r>
          </w:p>
        </w:tc>
        <w:tc>
          <w:tcPr>
            <w:tcW w:type="dxa" w:w="1461"/>
            <w:vAlign w:val="center"/>
          </w:tcPr>
          <w:p>
            <w:r>
              <w:rPr>
                <w:sz w:val="15"/>
              </w:rPr>
              <w:t>Role-based access</w:t>
            </w:r>
          </w:p>
        </w:tc>
        <w:tc>
          <w:tcPr>
            <w:tcW w:type="dxa" w:w="1461"/>
            <w:vAlign w:val="center"/>
          </w:tcPr>
          <w:p>
            <w:r>
              <w:rPr>
                <w:sz w:val="15"/>
              </w:rPr>
              <w:t>High</w:t>
            </w:r>
          </w:p>
        </w:tc>
        <w:tc>
          <w:tcPr>
            <w:tcW w:type="dxa" w:w="1461"/>
            <w:vAlign w:val="center"/>
          </w:tcPr>
          <w:p>
            <w:r>
              <w:rPr>
                <w:sz w:val="15"/>
              </w:rPr>
              <w:t>Authorization, audit trail</w:t>
            </w:r>
          </w:p>
        </w:tc>
      </w:tr>
      <w:tr>
        <w:tc>
          <w:tcPr>
            <w:tcW w:type="dxa" w:w="1461"/>
            <w:vAlign w:val="center"/>
          </w:tcPr>
          <w:p>
            <w:r>
              <w:rPr>
                <w:sz w:val="15"/>
              </w:rPr>
              <w:t>Reject failure</w:t>
            </w:r>
          </w:p>
        </w:tc>
        <w:tc>
          <w:tcPr>
            <w:tcW w:type="dxa" w:w="1461"/>
            <w:vAlign w:val="center"/>
          </w:tcPr>
          <w:p>
            <w:r>
              <w:rPr>
                <w:sz w:val="15"/>
              </w:rPr>
              <w:t>Defective tablets not segregated</w:t>
            </w:r>
          </w:p>
        </w:tc>
        <w:tc>
          <w:tcPr>
            <w:tcW w:type="dxa" w:w="1461"/>
            <w:vAlign w:val="center"/>
          </w:tcPr>
          <w:p>
            <w:r>
              <w:rPr>
                <w:sz w:val="15"/>
              </w:rPr>
              <w:t>GMP critical</w:t>
            </w:r>
          </w:p>
        </w:tc>
        <w:tc>
          <w:tcPr>
            <w:tcW w:type="dxa" w:w="1461"/>
            <w:vAlign w:val="center"/>
          </w:tcPr>
          <w:p>
            <w:r>
              <w:rPr>
                <w:sz w:val="15"/>
              </w:rPr>
              <w:t>Potential patient/product impact</w:t>
            </w:r>
          </w:p>
        </w:tc>
        <w:tc>
          <w:tcPr>
            <w:tcW w:type="dxa" w:w="1461"/>
            <w:vAlign w:val="center"/>
          </w:tcPr>
          <w:p>
            <w:r>
              <w:rPr>
                <w:sz w:val="15"/>
              </w:rPr>
              <w:t>Reject confirmation</w:t>
            </w:r>
          </w:p>
        </w:tc>
        <w:tc>
          <w:tcPr>
            <w:tcW w:type="dxa" w:w="1461"/>
            <w:vAlign w:val="center"/>
          </w:tcPr>
          <w:p>
            <w:r>
              <w:rPr>
                <w:sz w:val="15"/>
              </w:rPr>
              <w:t>High</w:t>
            </w:r>
          </w:p>
        </w:tc>
        <w:tc>
          <w:tcPr>
            <w:tcW w:type="dxa" w:w="1461"/>
            <w:vAlign w:val="center"/>
          </w:tcPr>
          <w:p>
            <w:r>
              <w:rPr>
                <w:sz w:val="15"/>
              </w:rPr>
              <w:t>Fail-safe reject logic</w:t>
            </w:r>
          </w:p>
        </w:tc>
      </w:tr>
      <w:tr>
        <w:tc>
          <w:tcPr>
            <w:tcW w:type="dxa" w:w="1461"/>
            <w:vAlign w:val="center"/>
          </w:tcPr>
          <w:p>
            <w:r>
              <w:rPr>
                <w:sz w:val="15"/>
              </w:rPr>
              <w:t>Metal-detector interface failure</w:t>
            </w:r>
          </w:p>
        </w:tc>
        <w:tc>
          <w:tcPr>
            <w:tcW w:type="dxa" w:w="1461"/>
            <w:vAlign w:val="center"/>
          </w:tcPr>
          <w:p>
            <w:r>
              <w:rPr>
                <w:sz w:val="15"/>
              </w:rPr>
              <w:t>Contaminated product not controlled</w:t>
            </w:r>
          </w:p>
        </w:tc>
        <w:tc>
          <w:tcPr>
            <w:tcW w:type="dxa" w:w="1461"/>
            <w:vAlign w:val="center"/>
          </w:tcPr>
          <w:p>
            <w:r>
              <w:rPr>
                <w:sz w:val="15"/>
              </w:rPr>
              <w:t>GMP critical</w:t>
            </w:r>
          </w:p>
        </w:tc>
        <w:tc>
          <w:tcPr>
            <w:tcW w:type="dxa" w:w="1461"/>
            <w:vAlign w:val="center"/>
          </w:tcPr>
          <w:p>
            <w:r>
              <w:rPr>
                <w:sz w:val="15"/>
              </w:rPr>
              <w:t>Potential patient impact</w:t>
            </w:r>
          </w:p>
        </w:tc>
        <w:tc>
          <w:tcPr>
            <w:tcW w:type="dxa" w:w="1461"/>
            <w:vAlign w:val="center"/>
          </w:tcPr>
          <w:p>
            <w:r>
              <w:rPr>
                <w:sz w:val="15"/>
              </w:rPr>
              <w:t>Handshake/fault signal</w:t>
            </w:r>
          </w:p>
        </w:tc>
        <w:tc>
          <w:tcPr>
            <w:tcW w:type="dxa" w:w="1461"/>
            <w:vAlign w:val="center"/>
          </w:tcPr>
          <w:p>
            <w:r>
              <w:rPr>
                <w:sz w:val="15"/>
              </w:rPr>
              <w:t>High</w:t>
            </w:r>
          </w:p>
        </w:tc>
        <w:tc>
          <w:tcPr>
            <w:tcW w:type="dxa" w:w="1461"/>
            <w:vAlign w:val="center"/>
          </w:tcPr>
          <w:p>
            <w:r>
              <w:rPr>
                <w:sz w:val="15"/>
              </w:rPr>
              <w:t>Validated fail-safe interface</w:t>
            </w:r>
          </w:p>
        </w:tc>
      </w:tr>
      <w:tr>
        <w:tc>
          <w:tcPr>
            <w:tcW w:type="dxa" w:w="1461"/>
            <w:vAlign w:val="center"/>
          </w:tcPr>
          <w:p>
            <w:r>
              <w:rPr>
                <w:sz w:val="15"/>
              </w:rPr>
              <w:t>Dust extraction failure</w:t>
            </w:r>
          </w:p>
        </w:tc>
        <w:tc>
          <w:tcPr>
            <w:tcW w:type="dxa" w:w="1461"/>
            <w:vAlign w:val="center"/>
          </w:tcPr>
          <w:p>
            <w:r>
              <w:rPr>
                <w:sz w:val="15"/>
              </w:rPr>
              <w:t>Dust/containment problem</w:t>
            </w:r>
          </w:p>
        </w:tc>
        <w:tc>
          <w:tcPr>
            <w:tcW w:type="dxa" w:w="1461"/>
            <w:vAlign w:val="center"/>
          </w:tcPr>
          <w:p>
            <w:r>
              <w:rPr>
                <w:sz w:val="15"/>
              </w:rPr>
              <w:t>GMP/EHS</w:t>
            </w:r>
          </w:p>
        </w:tc>
        <w:tc>
          <w:tcPr>
            <w:tcW w:type="dxa" w:w="1461"/>
            <w:vAlign w:val="center"/>
          </w:tcPr>
          <w:p>
            <w:r>
              <w:rPr>
                <w:sz w:val="15"/>
              </w:rPr>
              <w:t>Potential contamination/exposure</w:t>
            </w:r>
          </w:p>
        </w:tc>
        <w:tc>
          <w:tcPr>
            <w:tcW w:type="dxa" w:w="1461"/>
            <w:vAlign w:val="center"/>
          </w:tcPr>
          <w:p>
            <w:r>
              <w:rPr>
                <w:sz w:val="15"/>
              </w:rPr>
              <w:t>Airflow monitoring</w:t>
            </w:r>
          </w:p>
        </w:tc>
        <w:tc>
          <w:tcPr>
            <w:tcW w:type="dxa" w:w="1461"/>
            <w:vAlign w:val="center"/>
          </w:tcPr>
          <w:p>
            <w:r>
              <w:rPr>
                <w:sz w:val="15"/>
              </w:rPr>
              <w:t>High</w:t>
            </w:r>
          </w:p>
        </w:tc>
        <w:tc>
          <w:tcPr>
            <w:tcW w:type="dxa" w:w="1461"/>
            <w:vAlign w:val="center"/>
          </w:tcPr>
          <w:p>
            <w:r>
              <w:rPr>
                <w:sz w:val="15"/>
              </w:rPr>
              <w:t>Alarm/interlock and engineering controls</w:t>
            </w:r>
          </w:p>
        </w:tc>
      </w:tr>
      <w:tr>
        <w:tc>
          <w:tcPr>
            <w:tcW w:type="dxa" w:w="1461"/>
            <w:vAlign w:val="center"/>
          </w:tcPr>
          <w:p>
            <w:r>
              <w:rPr>
                <w:sz w:val="15"/>
              </w:rPr>
              <w:t>Data loss</w:t>
            </w:r>
          </w:p>
        </w:tc>
        <w:tc>
          <w:tcPr>
            <w:tcW w:type="dxa" w:w="1461"/>
            <w:vAlign w:val="center"/>
          </w:tcPr>
          <w:p>
            <w:r>
              <w:rPr>
                <w:sz w:val="15"/>
              </w:rPr>
              <w:t>Loss of electronic record</w:t>
            </w:r>
          </w:p>
        </w:tc>
        <w:tc>
          <w:tcPr>
            <w:tcW w:type="dxa" w:w="1461"/>
            <w:vAlign w:val="center"/>
          </w:tcPr>
          <w:p>
            <w:r>
              <w:rPr>
                <w:sz w:val="15"/>
              </w:rPr>
              <w:t>Data integrity</w:t>
            </w:r>
          </w:p>
        </w:tc>
        <w:tc>
          <w:tcPr>
            <w:tcW w:type="dxa" w:w="1461"/>
            <w:vAlign w:val="center"/>
          </w:tcPr>
          <w:p>
            <w:r>
              <w:rPr>
                <w:sz w:val="15"/>
              </w:rPr>
              <w:t>Potential investigation/release impact</w:t>
            </w:r>
          </w:p>
        </w:tc>
        <w:tc>
          <w:tcPr>
            <w:tcW w:type="dxa" w:w="1461"/>
            <w:vAlign w:val="center"/>
          </w:tcPr>
          <w:p>
            <w:r>
              <w:rPr>
                <w:sz w:val="15"/>
              </w:rPr>
              <w:t>Backup</w:t>
            </w:r>
          </w:p>
        </w:tc>
        <w:tc>
          <w:tcPr>
            <w:tcW w:type="dxa" w:w="1461"/>
            <w:vAlign w:val="center"/>
          </w:tcPr>
          <w:p>
            <w:r>
              <w:rPr>
                <w:sz w:val="15"/>
              </w:rPr>
              <w:t>High</w:t>
            </w:r>
          </w:p>
        </w:tc>
        <w:tc>
          <w:tcPr>
            <w:tcW w:type="dxa" w:w="1461"/>
            <w:vAlign w:val="center"/>
          </w:tcPr>
          <w:p>
            <w:r>
              <w:rPr>
                <w:sz w:val="15"/>
              </w:rPr>
              <w:t>Backup/restore testing</w:t>
            </w:r>
          </w:p>
        </w:tc>
      </w:tr>
      <w:tr>
        <w:tc>
          <w:tcPr>
            <w:tcW w:type="dxa" w:w="1461"/>
            <w:vAlign w:val="center"/>
          </w:tcPr>
          <w:p>
            <w:r>
              <w:rPr>
                <w:sz w:val="15"/>
              </w:rPr>
              <w:t>Audit-trail failure</w:t>
            </w:r>
          </w:p>
        </w:tc>
        <w:tc>
          <w:tcPr>
            <w:tcW w:type="dxa" w:w="1461"/>
            <w:vAlign w:val="center"/>
          </w:tcPr>
          <w:p>
            <w:r>
              <w:rPr>
                <w:sz w:val="15"/>
              </w:rPr>
              <w:t>Loss of traceability</w:t>
            </w:r>
          </w:p>
        </w:tc>
        <w:tc>
          <w:tcPr>
            <w:tcW w:type="dxa" w:w="1461"/>
            <w:vAlign w:val="center"/>
          </w:tcPr>
          <w:p>
            <w:r>
              <w:rPr>
                <w:sz w:val="15"/>
              </w:rPr>
              <w:t>Data integrity</w:t>
            </w:r>
          </w:p>
        </w:tc>
        <w:tc>
          <w:tcPr>
            <w:tcW w:type="dxa" w:w="1461"/>
            <w:vAlign w:val="center"/>
          </w:tcPr>
          <w:p>
            <w:r>
              <w:rPr>
                <w:sz w:val="15"/>
              </w:rPr>
              <w:t>Potential compliance impact</w:t>
            </w:r>
          </w:p>
        </w:tc>
        <w:tc>
          <w:tcPr>
            <w:tcW w:type="dxa" w:w="1461"/>
            <w:vAlign w:val="center"/>
          </w:tcPr>
          <w:p>
            <w:r>
              <w:rPr>
                <w:sz w:val="15"/>
              </w:rPr>
              <w:t>System design</w:t>
            </w:r>
          </w:p>
        </w:tc>
        <w:tc>
          <w:tcPr>
            <w:tcW w:type="dxa" w:w="1461"/>
            <w:vAlign w:val="center"/>
          </w:tcPr>
          <w:p>
            <w:r>
              <w:rPr>
                <w:sz w:val="15"/>
              </w:rPr>
              <w:t>High</w:t>
            </w:r>
          </w:p>
        </w:tc>
        <w:tc>
          <w:tcPr>
            <w:tcW w:type="dxa" w:w="1461"/>
            <w:vAlign w:val="center"/>
          </w:tcPr>
          <w:p>
            <w:r>
              <w:rPr>
                <w:sz w:val="15"/>
              </w:rPr>
              <w:t>Risk-based audit trail and verification</w:t>
            </w:r>
          </w:p>
        </w:tc>
      </w:tr>
      <w:tr>
        <w:tc>
          <w:tcPr>
            <w:tcW w:type="dxa" w:w="1461"/>
            <w:vAlign w:val="center"/>
          </w:tcPr>
          <w:p>
            <w:r>
              <w:rPr>
                <w:sz w:val="15"/>
              </w:rPr>
              <w:t>Shared account</w:t>
            </w:r>
          </w:p>
        </w:tc>
        <w:tc>
          <w:tcPr>
            <w:tcW w:type="dxa" w:w="1461"/>
            <w:vAlign w:val="center"/>
          </w:tcPr>
          <w:p>
            <w:r>
              <w:rPr>
                <w:sz w:val="15"/>
              </w:rPr>
              <w:t>Loss of attribution</w:t>
            </w:r>
          </w:p>
        </w:tc>
        <w:tc>
          <w:tcPr>
            <w:tcW w:type="dxa" w:w="1461"/>
            <w:vAlign w:val="center"/>
          </w:tcPr>
          <w:p>
            <w:r>
              <w:rPr>
                <w:sz w:val="15"/>
              </w:rPr>
              <w:t>Data integrity</w:t>
            </w:r>
          </w:p>
        </w:tc>
        <w:tc>
          <w:tcPr>
            <w:tcW w:type="dxa" w:w="1461"/>
            <w:vAlign w:val="center"/>
          </w:tcPr>
          <w:p>
            <w:r>
              <w:rPr>
                <w:sz w:val="15"/>
              </w:rPr>
              <w:t>Investigation/release risk</w:t>
            </w:r>
          </w:p>
        </w:tc>
        <w:tc>
          <w:tcPr>
            <w:tcW w:type="dxa" w:w="1461"/>
            <w:vAlign w:val="center"/>
          </w:tcPr>
          <w:p>
            <w:r>
              <w:rPr>
                <w:sz w:val="15"/>
              </w:rPr>
              <w:t>Access procedure</w:t>
            </w:r>
          </w:p>
        </w:tc>
        <w:tc>
          <w:tcPr>
            <w:tcW w:type="dxa" w:w="1461"/>
            <w:vAlign w:val="center"/>
          </w:tcPr>
          <w:p>
            <w:r>
              <w:rPr>
                <w:sz w:val="15"/>
              </w:rPr>
              <w:t>High</w:t>
            </w:r>
          </w:p>
        </w:tc>
        <w:tc>
          <w:tcPr>
            <w:tcW w:type="dxa" w:w="1461"/>
            <w:vAlign w:val="center"/>
          </w:tcPr>
          <w:p>
            <w:r>
              <w:rPr>
                <w:sz w:val="15"/>
              </w:rPr>
              <w:t>Unique accounts</w:t>
            </w:r>
          </w:p>
        </w:tc>
      </w:tr>
      <w:tr>
        <w:tc>
          <w:tcPr>
            <w:tcW w:type="dxa" w:w="1461"/>
            <w:vAlign w:val="center"/>
          </w:tcPr>
          <w:p>
            <w:r>
              <w:rPr>
                <w:sz w:val="15"/>
              </w:rPr>
              <w:t>Incorrect system time</w:t>
            </w:r>
          </w:p>
        </w:tc>
        <w:tc>
          <w:tcPr>
            <w:tcW w:type="dxa" w:w="1461"/>
            <w:vAlign w:val="center"/>
          </w:tcPr>
          <w:p>
            <w:r>
              <w:rPr>
                <w:sz w:val="15"/>
              </w:rPr>
              <w:t>Wrong timestamps</w:t>
            </w:r>
          </w:p>
        </w:tc>
        <w:tc>
          <w:tcPr>
            <w:tcW w:type="dxa" w:w="1461"/>
            <w:vAlign w:val="center"/>
          </w:tcPr>
          <w:p>
            <w:r>
              <w:rPr>
                <w:sz w:val="15"/>
              </w:rPr>
              <w:t>Data integrity</w:t>
            </w:r>
          </w:p>
        </w:tc>
        <w:tc>
          <w:tcPr>
            <w:tcW w:type="dxa" w:w="1461"/>
            <w:vAlign w:val="center"/>
          </w:tcPr>
          <w:p>
            <w:r>
              <w:rPr>
                <w:sz w:val="15"/>
              </w:rPr>
              <w:t>Investigation/release risk</w:t>
            </w:r>
          </w:p>
        </w:tc>
        <w:tc>
          <w:tcPr>
            <w:tcW w:type="dxa" w:w="1461"/>
            <w:vAlign w:val="center"/>
          </w:tcPr>
          <w:p>
            <w:r>
              <w:rPr>
                <w:sz w:val="15"/>
              </w:rPr>
              <w:t>Time sync</w:t>
            </w:r>
          </w:p>
        </w:tc>
        <w:tc>
          <w:tcPr>
            <w:tcW w:type="dxa" w:w="1461"/>
            <w:vAlign w:val="center"/>
          </w:tcPr>
          <w:p>
            <w:r>
              <w:rPr>
                <w:sz w:val="15"/>
              </w:rPr>
              <w:t>High</w:t>
            </w:r>
          </w:p>
        </w:tc>
        <w:tc>
          <w:tcPr>
            <w:tcW w:type="dxa" w:w="1461"/>
            <w:vAlign w:val="center"/>
          </w:tcPr>
          <w:p>
            <w:r>
              <w:rPr>
                <w:sz w:val="15"/>
              </w:rPr>
              <w:t>Controlled time source</w:t>
            </w:r>
          </w:p>
        </w:tc>
      </w:tr>
      <w:tr>
        <w:tc>
          <w:tcPr>
            <w:tcW w:type="dxa" w:w="1461"/>
            <w:vAlign w:val="center"/>
          </w:tcPr>
          <w:p>
            <w:r>
              <w:rPr>
                <w:sz w:val="15"/>
              </w:rPr>
              <w:t>PLC failure</w:t>
            </w:r>
          </w:p>
        </w:tc>
        <w:tc>
          <w:tcPr>
            <w:tcW w:type="dxa" w:w="1461"/>
            <w:vAlign w:val="center"/>
          </w:tcPr>
          <w:p>
            <w:r>
              <w:rPr>
                <w:sz w:val="15"/>
              </w:rPr>
              <w:t>Process interruption</w:t>
            </w:r>
          </w:p>
        </w:tc>
        <w:tc>
          <w:tcPr>
            <w:tcW w:type="dxa" w:w="1461"/>
            <w:vAlign w:val="center"/>
          </w:tcPr>
          <w:p>
            <w:r>
              <w:rPr>
                <w:sz w:val="15"/>
              </w:rPr>
              <w:t>Operational/GMP</w:t>
            </w:r>
          </w:p>
        </w:tc>
        <w:tc>
          <w:tcPr>
            <w:tcW w:type="dxa" w:w="1461"/>
            <w:vAlign w:val="center"/>
          </w:tcPr>
          <w:p>
            <w:r>
              <w:rPr>
                <w:sz w:val="15"/>
              </w:rPr>
              <w:t>Potential batch impact</w:t>
            </w:r>
          </w:p>
        </w:tc>
        <w:tc>
          <w:tcPr>
            <w:tcW w:type="dxa" w:w="1461"/>
            <w:vAlign w:val="center"/>
          </w:tcPr>
          <w:p>
            <w:r>
              <w:rPr>
                <w:sz w:val="15"/>
              </w:rPr>
              <w:t>Recovery strategy</w:t>
            </w:r>
          </w:p>
        </w:tc>
        <w:tc>
          <w:tcPr>
            <w:tcW w:type="dxa" w:w="1461"/>
            <w:vAlign w:val="center"/>
          </w:tcPr>
          <w:p>
            <w:r>
              <w:rPr>
                <w:sz w:val="15"/>
              </w:rPr>
              <w:t>Medium/High</w:t>
            </w:r>
          </w:p>
        </w:tc>
        <w:tc>
          <w:tcPr>
            <w:tcW w:type="dxa" w:w="1461"/>
            <w:vAlign w:val="center"/>
          </w:tcPr>
          <w:p>
            <w:r>
              <w:rPr>
                <w:sz w:val="15"/>
              </w:rPr>
              <w:t>Backup/recovery and controlled restart</w:t>
            </w:r>
          </w:p>
        </w:tc>
      </w:tr>
      <w:tr>
        <w:tc>
          <w:tcPr>
            <w:tcW w:type="dxa" w:w="1461"/>
            <w:vAlign w:val="center"/>
          </w:tcPr>
          <w:p>
            <w:r>
              <w:rPr>
                <w:sz w:val="15"/>
              </w:rPr>
              <w:t>HMI failure</w:t>
            </w:r>
          </w:p>
        </w:tc>
        <w:tc>
          <w:tcPr>
            <w:tcW w:type="dxa" w:w="1461"/>
            <w:vAlign w:val="center"/>
          </w:tcPr>
          <w:p>
            <w:r>
              <w:rPr>
                <w:sz w:val="15"/>
              </w:rPr>
              <w:t>Loss of operator interface</w:t>
            </w:r>
          </w:p>
        </w:tc>
        <w:tc>
          <w:tcPr>
            <w:tcW w:type="dxa" w:w="1461"/>
            <w:vAlign w:val="center"/>
          </w:tcPr>
          <w:p>
            <w:r>
              <w:rPr>
                <w:sz w:val="15"/>
              </w:rPr>
              <w:t>Operational</w:t>
            </w:r>
          </w:p>
        </w:tc>
        <w:tc>
          <w:tcPr>
            <w:tcW w:type="dxa" w:w="1461"/>
            <w:vAlign w:val="center"/>
          </w:tcPr>
          <w:p>
            <w:r>
              <w:rPr>
                <w:sz w:val="15"/>
              </w:rPr>
              <w:t>Potential process interruption</w:t>
            </w:r>
          </w:p>
        </w:tc>
        <w:tc>
          <w:tcPr>
            <w:tcW w:type="dxa" w:w="1461"/>
            <w:vAlign w:val="center"/>
          </w:tcPr>
          <w:p>
            <w:r>
              <w:rPr>
                <w:sz w:val="15"/>
              </w:rPr>
              <w:t>Recovery strategy</w:t>
            </w:r>
          </w:p>
        </w:tc>
        <w:tc>
          <w:tcPr>
            <w:tcW w:type="dxa" w:w="1461"/>
            <w:vAlign w:val="center"/>
          </w:tcPr>
          <w:p>
            <w:r>
              <w:rPr>
                <w:sz w:val="15"/>
              </w:rPr>
              <w:t>Medium</w:t>
            </w:r>
          </w:p>
        </w:tc>
        <w:tc>
          <w:tcPr>
            <w:tcW w:type="dxa" w:w="1461"/>
            <w:vAlign w:val="center"/>
          </w:tcPr>
          <w:p>
            <w:r>
              <w:rPr>
                <w:sz w:val="15"/>
              </w:rPr>
              <w:t>Validated recovery</w:t>
            </w:r>
          </w:p>
        </w:tc>
      </w:tr>
      <w:tr>
        <w:tc>
          <w:tcPr>
            <w:tcW w:type="dxa" w:w="1461"/>
            <w:vAlign w:val="center"/>
          </w:tcPr>
          <w:p>
            <w:r>
              <w:rPr>
                <w:sz w:val="15"/>
              </w:rPr>
              <w:t>Backup failure</w:t>
            </w:r>
          </w:p>
        </w:tc>
        <w:tc>
          <w:tcPr>
            <w:tcW w:type="dxa" w:w="1461"/>
            <w:vAlign w:val="center"/>
          </w:tcPr>
          <w:p>
            <w:r>
              <w:rPr>
                <w:sz w:val="15"/>
              </w:rPr>
              <w:t>Data unrecoverable</w:t>
            </w:r>
          </w:p>
        </w:tc>
        <w:tc>
          <w:tcPr>
            <w:tcW w:type="dxa" w:w="1461"/>
            <w:vAlign w:val="center"/>
          </w:tcPr>
          <w:p>
            <w:r>
              <w:rPr>
                <w:sz w:val="15"/>
              </w:rPr>
              <w:t>GMP/data integrity</w:t>
            </w:r>
          </w:p>
        </w:tc>
        <w:tc>
          <w:tcPr>
            <w:tcW w:type="dxa" w:w="1461"/>
            <w:vAlign w:val="center"/>
          </w:tcPr>
          <w:p>
            <w:r>
              <w:rPr>
                <w:sz w:val="15"/>
              </w:rPr>
              <w:t>Potential record loss</w:t>
            </w:r>
          </w:p>
        </w:tc>
        <w:tc>
          <w:tcPr>
            <w:tcW w:type="dxa" w:w="1461"/>
            <w:vAlign w:val="center"/>
          </w:tcPr>
          <w:p>
            <w:r>
              <w:rPr>
                <w:sz w:val="15"/>
              </w:rPr>
              <w:t>Backup monitoring</w:t>
            </w:r>
          </w:p>
        </w:tc>
        <w:tc>
          <w:tcPr>
            <w:tcW w:type="dxa" w:w="1461"/>
            <w:vAlign w:val="center"/>
          </w:tcPr>
          <w:p>
            <w:r>
              <w:rPr>
                <w:sz w:val="15"/>
              </w:rPr>
              <w:t>High</w:t>
            </w:r>
          </w:p>
        </w:tc>
        <w:tc>
          <w:tcPr>
            <w:tcW w:type="dxa" w:w="1461"/>
            <w:vAlign w:val="center"/>
          </w:tcPr>
          <w:p>
            <w:r>
              <w:rPr>
                <w:sz w:val="15"/>
              </w:rPr>
              <w:t>Restore testing and verification</w:t>
            </w:r>
          </w:p>
        </w:tc>
      </w:tr>
    </w:tbl>
    <w:p/>
    <w:p>
      <w:pPr>
        <w:pStyle w:val="Heading1"/>
      </w:pPr>
      <w:r>
        <w:t>51. GMP / CSV Audit Questions with Model Answers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Audit Question</w:t>
            </w:r>
          </w:p>
        </w:tc>
        <w:tc>
          <w:tcPr>
            <w:tcW w:type="dxa" w:w="5112"/>
            <w:shd w:fill="D9EAF7"/>
          </w:tcPr>
          <w:p>
            <w:r>
              <w:rPr>
                <w:b/>
                <w:sz w:val="15"/>
              </w:rPr>
              <w:t>Model Answer</w:t>
            </w:r>
          </w:p>
        </w:tc>
      </w:tr>
      <w:tr>
        <w:tc>
          <w:tcPr>
            <w:tcW w:type="dxa" w:w="5112"/>
            <w:vAlign w:val="center"/>
          </w:tcPr>
          <w:p>
            <w:r>
              <w:rPr>
                <w:sz w:val="15"/>
              </w:rPr>
              <w:t>Why was the computerized system assessed for GxP impact?</w:t>
            </w:r>
          </w:p>
        </w:tc>
        <w:tc>
          <w:tcPr>
            <w:tcW w:type="dxa" w:w="5112"/>
            <w:vAlign w:val="center"/>
          </w:tcPr>
          <w:p>
            <w:r>
              <w:rPr>
                <w:sz w:val="15"/>
              </w:rPr>
              <w:t>To determine which functions/data can affect product quality, GMP records, data integrity or regulated activities and therefore require appropriate controls and validation.</w:t>
            </w:r>
          </w:p>
        </w:tc>
      </w:tr>
      <w:tr>
        <w:tc>
          <w:tcPr>
            <w:tcW w:type="dxa" w:w="5112"/>
            <w:vAlign w:val="center"/>
          </w:tcPr>
          <w:p>
            <w:r>
              <w:rPr>
                <w:sz w:val="15"/>
              </w:rPr>
              <w:t>How was Part 11 applicability determined?</w:t>
            </w:r>
          </w:p>
        </w:tc>
        <w:tc>
          <w:tcPr>
            <w:tcW w:type="dxa" w:w="5112"/>
            <w:vAlign w:val="center"/>
          </w:tcPr>
          <w:p>
            <w:r>
              <w:rPr>
                <w:sz w:val="15"/>
              </w:rPr>
              <w:t>The site assessed electronic records/signatures against applicable predicate rules and documented whether electronic records are relied upon for regulated activities.</w:t>
            </w:r>
          </w:p>
        </w:tc>
      </w:tr>
      <w:tr>
        <w:tc>
          <w:tcPr>
            <w:tcW w:type="dxa" w:w="5112"/>
            <w:vAlign w:val="center"/>
          </w:tcPr>
          <w:p>
            <w:r>
              <w:rPr>
                <w:sz w:val="15"/>
              </w:rPr>
              <w:t>Who can change compression-force limits?</w:t>
            </w:r>
          </w:p>
        </w:tc>
        <w:tc>
          <w:tcPr>
            <w:tcW w:type="dxa" w:w="5112"/>
            <w:vAlign w:val="center"/>
          </w:tcPr>
          <w:p>
            <w:r>
              <w:rPr>
                <w:sz w:val="15"/>
              </w:rPr>
              <w:t>Only authorized users with appropriate role permissions, according to approved procedures and change/recipe controls.</w:t>
            </w:r>
          </w:p>
        </w:tc>
      </w:tr>
      <w:tr>
        <w:tc>
          <w:tcPr>
            <w:tcW w:type="dxa" w:w="5112"/>
            <w:vAlign w:val="center"/>
          </w:tcPr>
          <w:p>
            <w:r>
              <w:rPr>
                <w:sz w:val="15"/>
              </w:rPr>
              <w:t>How is an approved recipe protected?</w:t>
            </w:r>
          </w:p>
        </w:tc>
        <w:tc>
          <w:tcPr>
            <w:tcW w:type="dxa" w:w="5112"/>
            <w:vAlign w:val="center"/>
          </w:tcPr>
          <w:p>
            <w:r>
              <w:rPr>
                <w:sz w:val="15"/>
              </w:rPr>
              <w:t>Access control, authorization, versioning and appropriate audit-trail controls prevent unauthorized modification.</w:t>
            </w:r>
          </w:p>
        </w:tc>
      </w:tr>
      <w:tr>
        <w:tc>
          <w:tcPr>
            <w:tcW w:type="dxa" w:w="5112"/>
            <w:vAlign w:val="center"/>
          </w:tcPr>
          <w:p>
            <w:r>
              <w:rPr>
                <w:sz w:val="15"/>
              </w:rPr>
              <w:t>How do you know who changed a parameter?</w:t>
            </w:r>
          </w:p>
        </w:tc>
        <w:tc>
          <w:tcPr>
            <w:tcW w:type="dxa" w:w="5112"/>
            <w:vAlign w:val="center"/>
          </w:tcPr>
          <w:p>
            <w:r>
              <w:rPr>
                <w:sz w:val="15"/>
              </w:rPr>
              <w:t>The applicable electronic record/audit trail identifies the authorized user, event and timestamp, with reason-for-change where required.</w:t>
            </w:r>
          </w:p>
        </w:tc>
      </w:tr>
      <w:tr>
        <w:tc>
          <w:tcPr>
            <w:tcW w:type="dxa" w:w="5112"/>
            <w:vAlign w:val="center"/>
          </w:tcPr>
          <w:p>
            <w:r>
              <w:rPr>
                <w:sz w:val="15"/>
              </w:rPr>
              <w:t>Can operators share accounts?</w:t>
            </w:r>
          </w:p>
        </w:tc>
        <w:tc>
          <w:tcPr>
            <w:tcW w:type="dxa" w:w="5112"/>
            <w:vAlign w:val="center"/>
          </w:tcPr>
          <w:p>
            <w:r>
              <w:rPr>
                <w:sz w:val="15"/>
              </w:rPr>
              <w:t>No shared GMP accounts are permitted; users are individually identifiable.</w:t>
            </w:r>
          </w:p>
        </w:tc>
      </w:tr>
      <w:tr>
        <w:tc>
          <w:tcPr>
            <w:tcW w:type="dxa" w:w="5112"/>
            <w:vAlign w:val="center"/>
          </w:tcPr>
          <w:p>
            <w:r>
              <w:rPr>
                <w:sz w:val="15"/>
              </w:rPr>
              <w:t>How is system time controlled?</w:t>
            </w:r>
          </w:p>
        </w:tc>
        <w:tc>
          <w:tcPr>
            <w:tcW w:type="dxa" w:w="5112"/>
            <w:vAlign w:val="center"/>
          </w:tcPr>
          <w:p>
            <w:r>
              <w:rPr>
                <w:sz w:val="15"/>
              </w:rPr>
              <w:t>GMP-relevant components use controlled time settings/synchronization and changes are restricted and managed.</w:t>
            </w:r>
          </w:p>
        </w:tc>
      </w:tr>
      <w:tr>
        <w:tc>
          <w:tcPr>
            <w:tcW w:type="dxa" w:w="5112"/>
            <w:vAlign w:val="center"/>
          </w:tcPr>
          <w:p>
            <w:r>
              <w:rPr>
                <w:sz w:val="15"/>
              </w:rPr>
              <w:t>How is backup effectiveness demonstrated?</w:t>
            </w:r>
          </w:p>
        </w:tc>
        <w:tc>
          <w:tcPr>
            <w:tcW w:type="dxa" w:w="5112"/>
            <w:vAlign w:val="center"/>
          </w:tcPr>
          <w:p>
            <w:r>
              <w:rPr>
                <w:sz w:val="15"/>
              </w:rPr>
              <w:t>Backup is documented and restoration is periodically tested to demonstrate recoverability.</w:t>
            </w:r>
          </w:p>
        </w:tc>
      </w:tr>
      <w:tr>
        <w:tc>
          <w:tcPr>
            <w:tcW w:type="dxa" w:w="5112"/>
            <w:vAlign w:val="center"/>
          </w:tcPr>
          <w:p>
            <w:r>
              <w:rPr>
                <w:sz w:val="15"/>
              </w:rPr>
              <w:t>What happens if the reject system fails?</w:t>
            </w:r>
          </w:p>
        </w:tc>
        <w:tc>
          <w:tcPr>
            <w:tcW w:type="dxa" w:w="5112"/>
            <w:vAlign w:val="center"/>
          </w:tcPr>
          <w:p>
            <w:r>
              <w:rPr>
                <w:sz w:val="15"/>
              </w:rPr>
              <w:t>The validated failure strategy defines alarm, safe-state and product-control behavior so affected product is not unintentionally released.</w:t>
            </w:r>
          </w:p>
        </w:tc>
      </w:tr>
      <w:tr>
        <w:tc>
          <w:tcPr>
            <w:tcW w:type="dxa" w:w="5112"/>
            <w:vAlign w:val="center"/>
          </w:tcPr>
          <w:p>
            <w:r>
              <w:rPr>
                <w:sz w:val="15"/>
              </w:rPr>
              <w:t>How is compression-force measurement calibrated?</w:t>
            </w:r>
          </w:p>
        </w:tc>
        <w:tc>
          <w:tcPr>
            <w:tcW w:type="dxa" w:w="5112"/>
            <w:vAlign w:val="center"/>
          </w:tcPr>
          <w:p>
            <w:r>
              <w:rPr>
                <w:sz w:val="15"/>
              </w:rPr>
              <w:t>Critical force-measurement devices are uniquely identified, calibrated/verified against approved standards and managed through the calibration system.</w:t>
            </w:r>
          </w:p>
        </w:tc>
      </w:tr>
      <w:tr>
        <w:tc>
          <w:tcPr>
            <w:tcW w:type="dxa" w:w="5112"/>
            <w:vAlign w:val="center"/>
          </w:tcPr>
          <w:p>
            <w:r>
              <w:rPr>
                <w:sz w:val="15"/>
              </w:rPr>
              <w:t>How was FAT leveraged during qualification?</w:t>
            </w:r>
          </w:p>
        </w:tc>
        <w:tc>
          <w:tcPr>
            <w:tcW w:type="dxa" w:w="5112"/>
            <w:vAlign w:val="center"/>
          </w:tcPr>
          <w:p>
            <w:r>
              <w:rPr>
                <w:sz w:val="15"/>
              </w:rPr>
              <w:t>FAT evidence is assessed for suitability, completeness and applicability; additional site-specific testing is performed where required.</w:t>
            </w:r>
          </w:p>
        </w:tc>
      </w:tr>
      <w:tr>
        <w:tc>
          <w:tcPr>
            <w:tcW w:type="dxa" w:w="5112"/>
            <w:vAlign w:val="center"/>
          </w:tcPr>
          <w:p>
            <w:r>
              <w:rPr>
                <w:sz w:val="15"/>
              </w:rPr>
              <w:t>How are software changes controlled?</w:t>
            </w:r>
          </w:p>
        </w:tc>
        <w:tc>
          <w:tcPr>
            <w:tcW w:type="dxa" w:w="5112"/>
            <w:vAlign w:val="center"/>
          </w:tcPr>
          <w:p>
            <w:r>
              <w:rPr>
                <w:sz w:val="15"/>
              </w:rPr>
              <w:t>Changes are documented, risk assessed, approved and tested as required before release to the validated environment.</w:t>
            </w:r>
          </w:p>
        </w:tc>
      </w:tr>
      <w:tr>
        <w:tc>
          <w:tcPr>
            <w:tcW w:type="dxa" w:w="5112"/>
            <w:vAlign w:val="center"/>
          </w:tcPr>
          <w:p>
            <w:r>
              <w:rPr>
                <w:sz w:val="15"/>
              </w:rPr>
              <w:t>How is remote vendor access controlled?</w:t>
            </w:r>
          </w:p>
        </w:tc>
        <w:tc>
          <w:tcPr>
            <w:tcW w:type="dxa" w:w="5112"/>
            <w:vAlign w:val="center"/>
          </w:tcPr>
          <w:p>
            <w:r>
              <w:rPr>
                <w:sz w:val="15"/>
              </w:rPr>
              <w:t>It is authorized, technically controlled, logged and disabled/revoked after use as appropriate.</w:t>
            </w:r>
          </w:p>
        </w:tc>
      </w:tr>
      <w:tr>
        <w:tc>
          <w:tcPr>
            <w:tcW w:type="dxa" w:w="5112"/>
            <w:vAlign w:val="center"/>
          </w:tcPr>
          <w:p>
            <w:r>
              <w:rPr>
                <w:sz w:val="15"/>
              </w:rPr>
              <w:t>How is audit trail reviewed?</w:t>
            </w:r>
          </w:p>
        </w:tc>
        <w:tc>
          <w:tcPr>
            <w:tcW w:type="dxa" w:w="5112"/>
            <w:vAlign w:val="center"/>
          </w:tcPr>
          <w:p>
            <w:r>
              <w:rPr>
                <w:sz w:val="15"/>
              </w:rPr>
              <w:t>The site defines review scope, frequency and responsibility based on risk and regulatory requirements.</w:t>
            </w:r>
          </w:p>
        </w:tc>
      </w:tr>
      <w:tr>
        <w:tc>
          <w:tcPr>
            <w:tcW w:type="dxa" w:w="5112"/>
            <w:vAlign w:val="center"/>
          </w:tcPr>
          <w:p>
            <w:r>
              <w:rPr>
                <w:sz w:val="15"/>
              </w:rPr>
              <w:t>How are deviations handled?</w:t>
            </w:r>
          </w:p>
        </w:tc>
        <w:tc>
          <w:tcPr>
            <w:tcW w:type="dxa" w:w="5112"/>
            <w:vAlign w:val="center"/>
          </w:tcPr>
          <w:p>
            <w:r>
              <w:rPr>
                <w:sz w:val="15"/>
              </w:rPr>
              <w:t>They are documented, investigated, impact assessed, corrected/CAPAed where required and formally closed.</w:t>
            </w:r>
          </w:p>
        </w:tc>
      </w:tr>
    </w:tbl>
    <w:p/>
    <w:p>
      <w:pPr>
        <w:pStyle w:val="Heading1"/>
      </w:pPr>
      <w:r>
        <w:t>52. Vendor Compliance Statement</w:t>
      </w:r>
    </w:p>
    <w:p>
      <w:r>
        <w:t>Vendor shall review every URS requirement and classify it as Comply (C), Partially Comply (PC), Does Not Comply (NC), or Not Applicable (NA), with justification for every exception.</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trPr>
        <w:tc>
          <w:tcPr>
            <w:tcW w:type="dxa" w:w="2045"/>
            <w:shd w:fill="D9EAF7"/>
          </w:tcPr>
          <w:p>
            <w:r>
              <w:rPr>
                <w:b/>
                <w:sz w:val="15"/>
              </w:rPr>
              <w:t>URS ID</w:t>
            </w:r>
          </w:p>
        </w:tc>
        <w:tc>
          <w:tcPr>
            <w:tcW w:type="dxa" w:w="2045"/>
            <w:shd w:fill="D9EAF7"/>
          </w:tcPr>
          <w:p>
            <w:r>
              <w:rPr>
                <w:b/>
                <w:sz w:val="15"/>
              </w:rPr>
              <w:t>Requirement</w:t>
            </w:r>
          </w:p>
        </w:tc>
        <w:tc>
          <w:tcPr>
            <w:tcW w:type="dxa" w:w="2045"/>
            <w:shd w:fill="D9EAF7"/>
          </w:tcPr>
          <w:p>
            <w:r>
              <w:rPr>
                <w:b/>
                <w:sz w:val="15"/>
              </w:rPr>
              <w:t>Vendor Response</w:t>
            </w:r>
          </w:p>
        </w:tc>
        <w:tc>
          <w:tcPr>
            <w:tcW w:type="dxa" w:w="2045"/>
            <w:shd w:fill="D9EAF7"/>
          </w:tcPr>
          <w:p>
            <w:r>
              <w:rPr>
                <w:b/>
                <w:sz w:val="15"/>
              </w:rPr>
              <w:t>Compliance</w:t>
            </w:r>
          </w:p>
        </w:tc>
        <w:tc>
          <w:tcPr>
            <w:tcW w:type="dxa" w:w="2045"/>
            <w:shd w:fill="D9EAF7"/>
          </w:tcPr>
          <w:p>
            <w:r>
              <w:rPr>
                <w:b/>
                <w:sz w:val="15"/>
              </w:rPr>
              <w:t>Deviation/Comment</w:t>
            </w:r>
          </w:p>
        </w:tc>
      </w:tr>
      <w:tr>
        <w:tc>
          <w:tcPr>
            <w:tcW w:type="dxa" w:w="2045"/>
            <w:vAlign w:val="center"/>
          </w:tcPr>
          <w:p>
            <w:r>
              <w:rPr>
                <w:sz w:val="15"/>
              </w:rPr>
              <w:t>CM-URS-001</w:t>
            </w:r>
          </w:p>
        </w:tc>
        <w:tc>
          <w:tcPr>
            <w:tcW w:type="dxa" w:w="2045"/>
            <w:vAlign w:val="center"/>
          </w:tcPr>
          <w:p>
            <w:r>
              <w:rPr>
                <w:sz w:val="15"/>
              </w:rPr>
              <w:t>GMP suitability</w:t>
            </w:r>
          </w:p>
        </w:tc>
        <w:tc>
          <w:tcPr>
            <w:tcW w:type="dxa" w:w="2045"/>
            <w:vAlign w:val="center"/>
          </w:tcPr>
          <w:p>
            <w:r>
              <w:rPr>
                <w:sz w:val="15"/>
              </w:rPr>
              <w:t>Vendor response</w:t>
            </w:r>
          </w:p>
        </w:tc>
        <w:tc>
          <w:tcPr>
            <w:tcW w:type="dxa" w:w="2045"/>
            <w:vAlign w:val="center"/>
          </w:tcPr>
          <w:p>
            <w:r>
              <w:rPr>
                <w:sz w:val="15"/>
              </w:rPr>
              <w:t>C/PC/NC/NA</w:t>
            </w:r>
          </w:p>
        </w:tc>
        <w:tc>
          <w:tcPr>
            <w:tcW w:type="dxa" w:w="2045"/>
            <w:vAlign w:val="center"/>
          </w:tcPr>
          <w:p>
            <w:r>
              <w:rPr>
                <w:sz w:val="15"/>
              </w:rPr>
              <w:t>TBD</w:t>
            </w:r>
          </w:p>
        </w:tc>
      </w:tr>
      <w:tr>
        <w:tc>
          <w:tcPr>
            <w:tcW w:type="dxa" w:w="2045"/>
            <w:vAlign w:val="center"/>
          </w:tcPr>
          <w:p>
            <w:r>
              <w:rPr>
                <w:sz w:val="15"/>
              </w:rPr>
              <w:t>CM-URS-039</w:t>
            </w:r>
          </w:p>
        </w:tc>
        <w:tc>
          <w:tcPr>
            <w:tcW w:type="dxa" w:w="2045"/>
            <w:vAlign w:val="center"/>
          </w:tcPr>
          <w:p>
            <w:r>
              <w:rPr>
                <w:sz w:val="15"/>
              </w:rPr>
              <w:t>Pre-compression force</w:t>
            </w:r>
          </w:p>
        </w:tc>
        <w:tc>
          <w:tcPr>
            <w:tcW w:type="dxa" w:w="2045"/>
            <w:vAlign w:val="center"/>
          </w:tcPr>
          <w:p>
            <w:r>
              <w:rPr>
                <w:sz w:val="15"/>
              </w:rPr>
              <w:t>Vendor response</w:t>
            </w:r>
          </w:p>
        </w:tc>
        <w:tc>
          <w:tcPr>
            <w:tcW w:type="dxa" w:w="2045"/>
            <w:vAlign w:val="center"/>
          </w:tcPr>
          <w:p>
            <w:r>
              <w:rPr>
                <w:sz w:val="15"/>
              </w:rPr>
              <w:t>C/PC/NC/NA</w:t>
            </w:r>
          </w:p>
        </w:tc>
        <w:tc>
          <w:tcPr>
            <w:tcW w:type="dxa" w:w="2045"/>
            <w:vAlign w:val="center"/>
          </w:tcPr>
          <w:p>
            <w:r>
              <w:rPr>
                <w:sz w:val="15"/>
              </w:rPr>
              <w:t>TBD</w:t>
            </w:r>
          </w:p>
        </w:tc>
      </w:tr>
      <w:tr>
        <w:tc>
          <w:tcPr>
            <w:tcW w:type="dxa" w:w="2045"/>
            <w:vAlign w:val="center"/>
          </w:tcPr>
          <w:p>
            <w:r>
              <w:rPr>
                <w:sz w:val="15"/>
              </w:rPr>
              <w:t>CM-URS-055</w:t>
            </w:r>
          </w:p>
        </w:tc>
        <w:tc>
          <w:tcPr>
            <w:tcW w:type="dxa" w:w="2045"/>
            <w:vAlign w:val="center"/>
          </w:tcPr>
          <w:p>
            <w:r>
              <w:rPr>
                <w:sz w:val="15"/>
              </w:rPr>
              <w:t>Recipe control</w:t>
            </w:r>
          </w:p>
        </w:tc>
        <w:tc>
          <w:tcPr>
            <w:tcW w:type="dxa" w:w="2045"/>
            <w:vAlign w:val="center"/>
          </w:tcPr>
          <w:p>
            <w:r>
              <w:rPr>
                <w:sz w:val="15"/>
              </w:rPr>
              <w:t>Vendor response</w:t>
            </w:r>
          </w:p>
        </w:tc>
        <w:tc>
          <w:tcPr>
            <w:tcW w:type="dxa" w:w="2045"/>
            <w:vAlign w:val="center"/>
          </w:tcPr>
          <w:p>
            <w:r>
              <w:rPr>
                <w:sz w:val="15"/>
              </w:rPr>
              <w:t>C/PC/NC/NA</w:t>
            </w:r>
          </w:p>
        </w:tc>
        <w:tc>
          <w:tcPr>
            <w:tcW w:type="dxa" w:w="2045"/>
            <w:vAlign w:val="center"/>
          </w:tcPr>
          <w:p>
            <w:r>
              <w:rPr>
                <w:sz w:val="15"/>
              </w:rPr>
              <w:t>TBD</w:t>
            </w:r>
          </w:p>
        </w:tc>
      </w:tr>
      <w:tr>
        <w:tc>
          <w:tcPr>
            <w:tcW w:type="dxa" w:w="2045"/>
            <w:vAlign w:val="center"/>
          </w:tcPr>
          <w:p>
            <w:r>
              <w:rPr>
                <w:sz w:val="15"/>
              </w:rPr>
              <w:t>CM-URS-066</w:t>
            </w:r>
          </w:p>
        </w:tc>
        <w:tc>
          <w:tcPr>
            <w:tcW w:type="dxa" w:w="2045"/>
            <w:vAlign w:val="center"/>
          </w:tcPr>
          <w:p>
            <w:r>
              <w:rPr>
                <w:sz w:val="15"/>
              </w:rPr>
              <w:t>Audit trail</w:t>
            </w:r>
          </w:p>
        </w:tc>
        <w:tc>
          <w:tcPr>
            <w:tcW w:type="dxa" w:w="2045"/>
            <w:vAlign w:val="center"/>
          </w:tcPr>
          <w:p>
            <w:r>
              <w:rPr>
                <w:sz w:val="15"/>
              </w:rPr>
              <w:t>Vendor response</w:t>
            </w:r>
          </w:p>
        </w:tc>
        <w:tc>
          <w:tcPr>
            <w:tcW w:type="dxa" w:w="2045"/>
            <w:vAlign w:val="center"/>
          </w:tcPr>
          <w:p>
            <w:r>
              <w:rPr>
                <w:sz w:val="15"/>
              </w:rPr>
              <w:t>C/PC/NC/NA</w:t>
            </w:r>
          </w:p>
        </w:tc>
        <w:tc>
          <w:tcPr>
            <w:tcW w:type="dxa" w:w="2045"/>
            <w:vAlign w:val="center"/>
          </w:tcPr>
          <w:p>
            <w:r>
              <w:rPr>
                <w:sz w:val="15"/>
              </w:rPr>
              <w:t>TBD</w:t>
            </w:r>
          </w:p>
        </w:tc>
      </w:tr>
      <w:tr>
        <w:tc>
          <w:tcPr>
            <w:tcW w:type="dxa" w:w="2045"/>
            <w:vAlign w:val="center"/>
          </w:tcPr>
          <w:p>
            <w:r>
              <w:rPr>
                <w:sz w:val="15"/>
              </w:rPr>
              <w:t>CM-URS-077</w:t>
            </w:r>
          </w:p>
        </w:tc>
        <w:tc>
          <w:tcPr>
            <w:tcW w:type="dxa" w:w="2045"/>
            <w:vAlign w:val="center"/>
          </w:tcPr>
          <w:p>
            <w:r>
              <w:rPr>
                <w:sz w:val="15"/>
              </w:rPr>
              <w:t>Unique user access</w:t>
            </w:r>
          </w:p>
        </w:tc>
        <w:tc>
          <w:tcPr>
            <w:tcW w:type="dxa" w:w="2045"/>
            <w:vAlign w:val="center"/>
          </w:tcPr>
          <w:p>
            <w:r>
              <w:rPr>
                <w:sz w:val="15"/>
              </w:rPr>
              <w:t>Vendor response</w:t>
            </w:r>
          </w:p>
        </w:tc>
        <w:tc>
          <w:tcPr>
            <w:tcW w:type="dxa" w:w="2045"/>
            <w:vAlign w:val="center"/>
          </w:tcPr>
          <w:p>
            <w:r>
              <w:rPr>
                <w:sz w:val="15"/>
              </w:rPr>
              <w:t>C/PC/NC/NA</w:t>
            </w:r>
          </w:p>
        </w:tc>
        <w:tc>
          <w:tcPr>
            <w:tcW w:type="dxa" w:w="2045"/>
            <w:vAlign w:val="center"/>
          </w:tcPr>
          <w:p>
            <w:r>
              <w:rPr>
                <w:sz w:val="15"/>
              </w:rPr>
              <w:t>TBD</w:t>
            </w:r>
          </w:p>
        </w:tc>
      </w:tr>
    </w:tbl>
    <w:p/>
    <w:p>
      <w:pPr>
        <w:pStyle w:val="Heading1"/>
      </w:pPr>
      <w:r>
        <w:t>53. Recommended Validation Lifecycle</w:t>
      </w:r>
    </w:p>
    <w:p>
      <w:r>
        <w:t>URS → GxP/System Boundary Assessment → Quality Risk Assessment → Supplier Evaluation → FS/DS → FAT → SAT → IQ → OQ → PQ → Requirements Traceability Matrix → Validation Summary Report → GMP Release → Periodic Review + Change Control</w:t>
      </w:r>
    </w:p>
    <w:p>
      <w:pPr>
        <w:pStyle w:val="Heading1"/>
      </w:pPr>
      <w:r>
        <w:t>54. Regulatory References and Current Regulatory Notes</w:t>
      </w:r>
    </w:p>
    <w:p>
      <w:pPr>
        <w:pStyle w:val="ListBullet"/>
      </w:pPr>
      <w:r>
        <w:t>US FDA 21 CFR Part 11 – Electronic Records; Electronic Signatures.</w:t>
      </w:r>
    </w:p>
    <w:p>
      <w:pPr>
        <w:pStyle w:val="ListBullet"/>
      </w:pPr>
      <w:r>
        <w:t>FDA Guidance: Part 11, Electronic Records; Electronic Signatures – Scope and Application.</w:t>
      </w:r>
    </w:p>
    <w:p>
      <w:pPr>
        <w:pStyle w:val="ListBullet"/>
      </w:pPr>
      <w:r>
        <w:t>EU GMP EudraLex Volume 4 – Annex 11: Computerised Systems.</w:t>
      </w:r>
    </w:p>
    <w:p>
      <w:pPr>
        <w:pStyle w:val="ListBullet"/>
      </w:pPr>
      <w:r>
        <w:t>EU GMP EudraLex Volume 4 – Annex 15: Qualification and Validation.</w:t>
      </w:r>
    </w:p>
    <w:p>
      <w:pPr>
        <w:pStyle w:val="ListBullet"/>
      </w:pPr>
      <w:r>
        <w:t>ISPE GAMP 5: A Risk-Based Approach to Compliant GxP Computerized Systems, Second Edition.</w:t>
      </w:r>
    </w:p>
    <w:p>
      <w:pPr>
        <w:pStyle w:val="ListBullet"/>
      </w:pPr>
      <w:r>
        <w:t>PIC/S GMP requirements, as applicable.</w:t>
      </w:r>
    </w:p>
    <w:p>
      <w:pPr>
        <w:pStyle w:val="ListBullet"/>
      </w:pPr>
      <w:r>
        <w:t>WHO GMP and applicable data-integrity guidance.</w:t>
      </w:r>
    </w:p>
    <w:p>
      <w:pPr>
        <w:pStyle w:val="ListBullet"/>
      </w:pPr>
      <w:r>
        <w:t>Applicable national GMP, machinery-safety, electrical-safety and cybersecurity requirements.</w:t>
      </w:r>
    </w:p>
    <w:p>
      <w:r>
        <w:t>Regulatory references shall be verified by QA/Regulatory for the target jurisdiction before controlled issuance. Requirements should be interpreted in the context of the applicable legal framework, product and intended use.</w:t>
      </w:r>
    </w:p>
    <w:p>
      <w:pPr>
        <w:pStyle w:val="Heading1"/>
      </w:pPr>
      <w:r>
        <w:t>55. Glossary and Abbreviations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Term</w:t>
            </w:r>
          </w:p>
        </w:tc>
        <w:tc>
          <w:tcPr>
            <w:tcW w:type="dxa" w:w="5112"/>
            <w:shd w:fill="D9EAF7"/>
          </w:tcPr>
          <w:p>
            <w:r>
              <w:rPr>
                <w:b/>
                <w:sz w:val="15"/>
              </w:rPr>
              <w:t>Meaning</w:t>
            </w:r>
          </w:p>
        </w:tc>
      </w:tr>
      <w:tr>
        <w:tc>
          <w:tcPr>
            <w:tcW w:type="dxa" w:w="5112"/>
            <w:vAlign w:val="center"/>
          </w:tcPr>
          <w:p>
            <w:r>
              <w:rPr>
                <w:sz w:val="15"/>
              </w:rPr>
              <w:t>ALCOA+</w:t>
            </w:r>
          </w:p>
        </w:tc>
        <w:tc>
          <w:tcPr>
            <w:tcW w:type="dxa" w:w="5112"/>
            <w:vAlign w:val="center"/>
          </w:tcPr>
          <w:p>
            <w:r>
              <w:rPr>
                <w:sz w:val="15"/>
              </w:rPr>
              <w:t>Data-integrity principles: attributable, legible, contemporaneous, original, accurate, complete, consistent, enduring, available.</w:t>
            </w:r>
          </w:p>
        </w:tc>
      </w:tr>
      <w:tr>
        <w:tc>
          <w:tcPr>
            <w:tcW w:type="dxa" w:w="5112"/>
            <w:vAlign w:val="center"/>
          </w:tcPr>
          <w:p>
            <w:r>
              <w:rPr>
                <w:sz w:val="15"/>
              </w:rPr>
              <w:t>CPP</w:t>
            </w:r>
          </w:p>
        </w:tc>
        <w:tc>
          <w:tcPr>
            <w:tcW w:type="dxa" w:w="5112"/>
            <w:vAlign w:val="center"/>
          </w:tcPr>
          <w:p>
            <w:r>
              <w:rPr>
                <w:sz w:val="15"/>
              </w:rPr>
              <w:t>Critical Process Parameter.</w:t>
            </w:r>
          </w:p>
        </w:tc>
      </w:tr>
      <w:tr>
        <w:tc>
          <w:tcPr>
            <w:tcW w:type="dxa" w:w="5112"/>
            <w:vAlign w:val="center"/>
          </w:tcPr>
          <w:p>
            <w:r>
              <w:rPr>
                <w:sz w:val="15"/>
              </w:rPr>
              <w:t>CQA</w:t>
            </w:r>
          </w:p>
        </w:tc>
        <w:tc>
          <w:tcPr>
            <w:tcW w:type="dxa" w:w="5112"/>
            <w:vAlign w:val="center"/>
          </w:tcPr>
          <w:p>
            <w:r>
              <w:rPr>
                <w:sz w:val="15"/>
              </w:rPr>
              <w:t>Critical Quality Attribute.</w:t>
            </w:r>
          </w:p>
        </w:tc>
      </w:tr>
      <w:tr>
        <w:tc>
          <w:tcPr>
            <w:tcW w:type="dxa" w:w="5112"/>
            <w:vAlign w:val="center"/>
          </w:tcPr>
          <w:p>
            <w:r>
              <w:rPr>
                <w:sz w:val="15"/>
              </w:rPr>
              <w:t>CSV</w:t>
            </w:r>
          </w:p>
        </w:tc>
        <w:tc>
          <w:tcPr>
            <w:tcW w:type="dxa" w:w="5112"/>
            <w:vAlign w:val="center"/>
          </w:tcPr>
          <w:p>
            <w:r>
              <w:rPr>
                <w:sz w:val="15"/>
              </w:rPr>
              <w:t>Computerized System Validation.</w:t>
            </w:r>
          </w:p>
        </w:tc>
      </w:tr>
      <w:tr>
        <w:tc>
          <w:tcPr>
            <w:tcW w:type="dxa" w:w="5112"/>
            <w:vAlign w:val="center"/>
          </w:tcPr>
          <w:p>
            <w:r>
              <w:rPr>
                <w:sz w:val="15"/>
              </w:rPr>
              <w:t>DQ</w:t>
            </w:r>
          </w:p>
        </w:tc>
        <w:tc>
          <w:tcPr>
            <w:tcW w:type="dxa" w:w="5112"/>
            <w:vAlign w:val="center"/>
          </w:tcPr>
          <w:p>
            <w:r>
              <w:rPr>
                <w:sz w:val="15"/>
              </w:rPr>
              <w:t>Design Qualification.</w:t>
            </w:r>
          </w:p>
        </w:tc>
      </w:tr>
      <w:tr>
        <w:tc>
          <w:tcPr>
            <w:tcW w:type="dxa" w:w="5112"/>
            <w:vAlign w:val="center"/>
          </w:tcPr>
          <w:p>
            <w:r>
              <w:rPr>
                <w:sz w:val="15"/>
              </w:rPr>
              <w:t>FAT</w:t>
            </w:r>
          </w:p>
        </w:tc>
        <w:tc>
          <w:tcPr>
            <w:tcW w:type="dxa" w:w="5112"/>
            <w:vAlign w:val="center"/>
          </w:tcPr>
          <w:p>
            <w:r>
              <w:rPr>
                <w:sz w:val="15"/>
              </w:rPr>
              <w:t>Factory Acceptance Test.</w:t>
            </w:r>
          </w:p>
        </w:tc>
      </w:tr>
      <w:tr>
        <w:tc>
          <w:tcPr>
            <w:tcW w:type="dxa" w:w="5112"/>
            <w:vAlign w:val="center"/>
          </w:tcPr>
          <w:p>
            <w:r>
              <w:rPr>
                <w:sz w:val="15"/>
              </w:rPr>
              <w:t>FS</w:t>
            </w:r>
          </w:p>
        </w:tc>
        <w:tc>
          <w:tcPr>
            <w:tcW w:type="dxa" w:w="5112"/>
            <w:vAlign w:val="center"/>
          </w:tcPr>
          <w:p>
            <w:r>
              <w:rPr>
                <w:sz w:val="15"/>
              </w:rPr>
              <w:t>Functional Specification.</w:t>
            </w:r>
          </w:p>
        </w:tc>
      </w:tr>
      <w:tr>
        <w:tc>
          <w:tcPr>
            <w:tcW w:type="dxa" w:w="5112"/>
            <w:vAlign w:val="center"/>
          </w:tcPr>
          <w:p>
            <w:r>
              <w:rPr>
                <w:sz w:val="15"/>
              </w:rPr>
              <w:t>GAMP</w:t>
            </w:r>
          </w:p>
        </w:tc>
        <w:tc>
          <w:tcPr>
            <w:tcW w:type="dxa" w:w="5112"/>
            <w:vAlign w:val="center"/>
          </w:tcPr>
          <w:p>
            <w:r>
              <w:rPr>
                <w:sz w:val="15"/>
              </w:rPr>
              <w:t>Good Automated Manufacturing Practice.</w:t>
            </w:r>
          </w:p>
        </w:tc>
      </w:tr>
      <w:tr>
        <w:tc>
          <w:tcPr>
            <w:tcW w:type="dxa" w:w="5112"/>
            <w:vAlign w:val="center"/>
          </w:tcPr>
          <w:p>
            <w:r>
              <w:rPr>
                <w:sz w:val="15"/>
              </w:rPr>
              <w:t>GMP</w:t>
            </w:r>
          </w:p>
        </w:tc>
        <w:tc>
          <w:tcPr>
            <w:tcW w:type="dxa" w:w="5112"/>
            <w:vAlign w:val="center"/>
          </w:tcPr>
          <w:p>
            <w:r>
              <w:rPr>
                <w:sz w:val="15"/>
              </w:rPr>
              <w:t>Good Manufacturing Practice.</w:t>
            </w:r>
          </w:p>
        </w:tc>
      </w:tr>
      <w:tr>
        <w:tc>
          <w:tcPr>
            <w:tcW w:type="dxa" w:w="5112"/>
            <w:vAlign w:val="center"/>
          </w:tcPr>
          <w:p>
            <w:r>
              <w:rPr>
                <w:sz w:val="15"/>
              </w:rPr>
              <w:t>HMI</w:t>
            </w:r>
          </w:p>
        </w:tc>
        <w:tc>
          <w:tcPr>
            <w:tcW w:type="dxa" w:w="5112"/>
            <w:vAlign w:val="center"/>
          </w:tcPr>
          <w:p>
            <w:r>
              <w:rPr>
                <w:sz w:val="15"/>
              </w:rPr>
              <w:t>Human Machine Interface.</w:t>
            </w:r>
          </w:p>
        </w:tc>
      </w:tr>
      <w:tr>
        <w:tc>
          <w:tcPr>
            <w:tcW w:type="dxa" w:w="5112"/>
            <w:vAlign w:val="center"/>
          </w:tcPr>
          <w:p>
            <w:r>
              <w:rPr>
                <w:sz w:val="15"/>
              </w:rPr>
              <w:t>IQ</w:t>
            </w:r>
          </w:p>
        </w:tc>
        <w:tc>
          <w:tcPr>
            <w:tcW w:type="dxa" w:w="5112"/>
            <w:vAlign w:val="center"/>
          </w:tcPr>
          <w:p>
            <w:r>
              <w:rPr>
                <w:sz w:val="15"/>
              </w:rPr>
              <w:t>Installation Qualification.</w:t>
            </w:r>
          </w:p>
        </w:tc>
      </w:tr>
      <w:tr>
        <w:tc>
          <w:tcPr>
            <w:tcW w:type="dxa" w:w="5112"/>
            <w:vAlign w:val="center"/>
          </w:tcPr>
          <w:p>
            <w:r>
              <w:rPr>
                <w:sz w:val="15"/>
              </w:rPr>
              <w:t>MES</w:t>
            </w:r>
          </w:p>
        </w:tc>
        <w:tc>
          <w:tcPr>
            <w:tcW w:type="dxa" w:w="5112"/>
            <w:vAlign w:val="center"/>
          </w:tcPr>
          <w:p>
            <w:r>
              <w:rPr>
                <w:sz w:val="15"/>
              </w:rPr>
              <w:t>Manufacturing Execution System.</w:t>
            </w:r>
          </w:p>
        </w:tc>
      </w:tr>
      <w:tr>
        <w:tc>
          <w:tcPr>
            <w:tcW w:type="dxa" w:w="5112"/>
            <w:vAlign w:val="center"/>
          </w:tcPr>
          <w:p>
            <w:r>
              <w:rPr>
                <w:sz w:val="15"/>
              </w:rPr>
              <w:t>OEE</w:t>
            </w:r>
          </w:p>
        </w:tc>
        <w:tc>
          <w:tcPr>
            <w:tcW w:type="dxa" w:w="5112"/>
            <w:vAlign w:val="center"/>
          </w:tcPr>
          <w:p>
            <w:r>
              <w:rPr>
                <w:sz w:val="15"/>
              </w:rPr>
              <w:t>Overall Equipment Effectiveness.</w:t>
            </w:r>
          </w:p>
        </w:tc>
      </w:tr>
      <w:tr>
        <w:tc>
          <w:tcPr>
            <w:tcW w:type="dxa" w:w="5112"/>
            <w:vAlign w:val="center"/>
          </w:tcPr>
          <w:p>
            <w:r>
              <w:rPr>
                <w:sz w:val="15"/>
              </w:rPr>
              <w:t>OQ</w:t>
            </w:r>
          </w:p>
        </w:tc>
        <w:tc>
          <w:tcPr>
            <w:tcW w:type="dxa" w:w="5112"/>
            <w:vAlign w:val="center"/>
          </w:tcPr>
          <w:p>
            <w:r>
              <w:rPr>
                <w:sz w:val="15"/>
              </w:rPr>
              <w:t>Operational Qualification.</w:t>
            </w:r>
          </w:p>
        </w:tc>
      </w:tr>
      <w:tr>
        <w:tc>
          <w:tcPr>
            <w:tcW w:type="dxa" w:w="5112"/>
            <w:vAlign w:val="center"/>
          </w:tcPr>
          <w:p>
            <w:r>
              <w:rPr>
                <w:sz w:val="15"/>
              </w:rPr>
              <w:t>PQ</w:t>
            </w:r>
          </w:p>
        </w:tc>
        <w:tc>
          <w:tcPr>
            <w:tcW w:type="dxa" w:w="5112"/>
            <w:vAlign w:val="center"/>
          </w:tcPr>
          <w:p>
            <w:r>
              <w:rPr>
                <w:sz w:val="15"/>
              </w:rPr>
              <w:t>Performance Qualification.</w:t>
            </w:r>
          </w:p>
        </w:tc>
      </w:tr>
      <w:tr>
        <w:tc>
          <w:tcPr>
            <w:tcW w:type="dxa" w:w="5112"/>
            <w:vAlign w:val="center"/>
          </w:tcPr>
          <w:p>
            <w:r>
              <w:rPr>
                <w:sz w:val="15"/>
              </w:rPr>
              <w:t>SCADA</w:t>
            </w:r>
          </w:p>
        </w:tc>
        <w:tc>
          <w:tcPr>
            <w:tcW w:type="dxa" w:w="5112"/>
            <w:vAlign w:val="center"/>
          </w:tcPr>
          <w:p>
            <w:r>
              <w:rPr>
                <w:sz w:val="15"/>
              </w:rPr>
              <w:t>Supervisory Control and Data Acquisition.</w:t>
            </w:r>
          </w:p>
        </w:tc>
      </w:tr>
      <w:tr>
        <w:tc>
          <w:tcPr>
            <w:tcW w:type="dxa" w:w="5112"/>
            <w:vAlign w:val="center"/>
          </w:tcPr>
          <w:p>
            <w:r>
              <w:rPr>
                <w:sz w:val="15"/>
              </w:rPr>
              <w:t>SAT</w:t>
            </w:r>
          </w:p>
        </w:tc>
        <w:tc>
          <w:tcPr>
            <w:tcW w:type="dxa" w:w="5112"/>
            <w:vAlign w:val="center"/>
          </w:tcPr>
          <w:p>
            <w:r>
              <w:rPr>
                <w:sz w:val="15"/>
              </w:rPr>
              <w:t>Site Acceptance Test.</w:t>
            </w:r>
          </w:p>
        </w:tc>
      </w:tr>
      <w:tr>
        <w:tc>
          <w:tcPr>
            <w:tcW w:type="dxa" w:w="5112"/>
            <w:vAlign w:val="center"/>
          </w:tcPr>
          <w:p>
            <w:r>
              <w:rPr>
                <w:sz w:val="15"/>
              </w:rPr>
              <w:t>URS</w:t>
            </w:r>
          </w:p>
        </w:tc>
        <w:tc>
          <w:tcPr>
            <w:tcW w:type="dxa" w:w="5112"/>
            <w:vAlign w:val="center"/>
          </w:tcPr>
          <w:p>
            <w:r>
              <w:rPr>
                <w:sz w:val="15"/>
              </w:rPr>
              <w:t>User Requirements Specification.</w:t>
            </w:r>
          </w:p>
        </w:tc>
      </w:tr>
      <w:tr>
        <w:tc>
          <w:tcPr>
            <w:tcW w:type="dxa" w:w="5112"/>
            <w:vAlign w:val="center"/>
          </w:tcPr>
          <w:p>
            <w:r>
              <w:rPr>
                <w:sz w:val="15"/>
              </w:rPr>
              <w:t>VMP</w:t>
            </w:r>
          </w:p>
        </w:tc>
        <w:tc>
          <w:tcPr>
            <w:tcW w:type="dxa" w:w="5112"/>
            <w:vAlign w:val="center"/>
          </w:tcPr>
          <w:p>
            <w:r>
              <w:rPr>
                <w:sz w:val="15"/>
              </w:rPr>
              <w:t>Validation Master Plan.</w:t>
            </w:r>
          </w:p>
        </w:tc>
      </w:tr>
    </w:tbl>
    <w:p/>
    <w:p>
      <w:pPr>
        <w:pStyle w:val="Heading1"/>
      </w:pPr>
      <w:r>
        <w:t>56. Approval</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shd w:fill="D9EAF7"/>
          </w:tcPr>
          <w:p>
            <w:r>
              <w:rPr>
                <w:b/>
                <w:sz w:val="15"/>
              </w:rPr>
              <w:t>Role</w:t>
            </w:r>
          </w:p>
        </w:tc>
        <w:tc>
          <w:tcPr>
            <w:tcW w:type="dxa" w:w="2556"/>
            <w:shd w:fill="D9EAF7"/>
          </w:tcPr>
          <w:p>
            <w:r>
              <w:rPr>
                <w:b/>
                <w:sz w:val="15"/>
              </w:rPr>
              <w:t>Name</w:t>
            </w:r>
          </w:p>
        </w:tc>
        <w:tc>
          <w:tcPr>
            <w:tcW w:type="dxa" w:w="2556"/>
            <w:shd w:fill="D9EAF7"/>
          </w:tcPr>
          <w:p>
            <w:r>
              <w:rPr>
                <w:b/>
                <w:sz w:val="15"/>
              </w:rPr>
              <w:t>Signature</w:t>
            </w:r>
          </w:p>
        </w:tc>
        <w:tc>
          <w:tcPr>
            <w:tcW w:type="dxa" w:w="2556"/>
            <w:shd w:fill="D9EAF7"/>
          </w:tcPr>
          <w:p>
            <w:r>
              <w:rPr>
                <w:b/>
                <w:sz w:val="15"/>
              </w:rPr>
              <w:t>Date</w:t>
            </w:r>
          </w:p>
        </w:tc>
      </w:tr>
      <w:tr>
        <w:tc>
          <w:tcPr>
            <w:tcW w:type="dxa" w:w="2556"/>
            <w:vAlign w:val="center"/>
          </w:tcPr>
          <w:p>
            <w:r>
              <w:rPr>
                <w:sz w:val="15"/>
              </w:rPr>
              <w:t>Prepared By</w:t>
            </w:r>
          </w:p>
        </w:tc>
        <w:tc>
          <w:tcPr>
            <w:tcW w:type="dxa" w:w="2556"/>
            <w:vAlign w:val="center"/>
          </w:tcPr>
          <w:p>
            <w:r>
              <w:rPr>
                <w:sz w:val="15"/>
              </w:rPr>
              <w:t>________________</w:t>
            </w:r>
          </w:p>
        </w:tc>
        <w:tc>
          <w:tcPr>
            <w:tcW w:type="dxa" w:w="2556"/>
            <w:vAlign w:val="center"/>
          </w:tcPr>
          <w:p>
            <w:r>
              <w:rPr>
                <w:sz w:val="15"/>
              </w:rPr>
              <w:t>________________</w:t>
            </w:r>
          </w:p>
        </w:tc>
        <w:tc>
          <w:tcPr>
            <w:tcW w:type="dxa" w:w="2556"/>
            <w:vAlign w:val="center"/>
          </w:tcPr>
          <w:p>
            <w:r>
              <w:rPr>
                <w:sz w:val="15"/>
              </w:rPr>
              <w:t>____________</w:t>
            </w:r>
          </w:p>
        </w:tc>
      </w:tr>
      <w:tr>
        <w:tc>
          <w:tcPr>
            <w:tcW w:type="dxa" w:w="2556"/>
            <w:vAlign w:val="center"/>
          </w:tcPr>
          <w:p>
            <w:r>
              <w:rPr>
                <w:sz w:val="15"/>
              </w:rPr>
              <w:t>Production/Manufacturing</w:t>
            </w:r>
          </w:p>
        </w:tc>
        <w:tc>
          <w:tcPr>
            <w:tcW w:type="dxa" w:w="2556"/>
            <w:vAlign w:val="center"/>
          </w:tcPr>
          <w:p>
            <w:r>
              <w:rPr>
                <w:sz w:val="15"/>
              </w:rPr>
              <w:t>________________</w:t>
            </w:r>
          </w:p>
        </w:tc>
        <w:tc>
          <w:tcPr>
            <w:tcW w:type="dxa" w:w="2556"/>
            <w:vAlign w:val="center"/>
          </w:tcPr>
          <w:p>
            <w:r>
              <w:rPr>
                <w:sz w:val="15"/>
              </w:rPr>
              <w:t>________________</w:t>
            </w:r>
          </w:p>
        </w:tc>
        <w:tc>
          <w:tcPr>
            <w:tcW w:type="dxa" w:w="2556"/>
            <w:vAlign w:val="center"/>
          </w:tcPr>
          <w:p>
            <w:r>
              <w:rPr>
                <w:sz w:val="15"/>
              </w:rPr>
              <w:t>____________</w:t>
            </w:r>
          </w:p>
        </w:tc>
      </w:tr>
      <w:tr>
        <w:tc>
          <w:tcPr>
            <w:tcW w:type="dxa" w:w="2556"/>
            <w:vAlign w:val="center"/>
          </w:tcPr>
          <w:p>
            <w:r>
              <w:rPr>
                <w:sz w:val="15"/>
              </w:rPr>
              <w:t>Engineering</w:t>
            </w:r>
          </w:p>
        </w:tc>
        <w:tc>
          <w:tcPr>
            <w:tcW w:type="dxa" w:w="2556"/>
            <w:vAlign w:val="center"/>
          </w:tcPr>
          <w:p>
            <w:r>
              <w:rPr>
                <w:sz w:val="15"/>
              </w:rPr>
              <w:t>________________</w:t>
            </w:r>
          </w:p>
        </w:tc>
        <w:tc>
          <w:tcPr>
            <w:tcW w:type="dxa" w:w="2556"/>
            <w:vAlign w:val="center"/>
          </w:tcPr>
          <w:p>
            <w:r>
              <w:rPr>
                <w:sz w:val="15"/>
              </w:rPr>
              <w:t>________________</w:t>
            </w:r>
          </w:p>
        </w:tc>
        <w:tc>
          <w:tcPr>
            <w:tcW w:type="dxa" w:w="2556"/>
            <w:vAlign w:val="center"/>
          </w:tcPr>
          <w:p>
            <w:r>
              <w:rPr>
                <w:sz w:val="15"/>
              </w:rPr>
              <w:t>____________</w:t>
            </w:r>
          </w:p>
        </w:tc>
      </w:tr>
      <w:tr>
        <w:tc>
          <w:tcPr>
            <w:tcW w:type="dxa" w:w="2556"/>
            <w:vAlign w:val="center"/>
          </w:tcPr>
          <w:p>
            <w:r>
              <w:rPr>
                <w:sz w:val="15"/>
              </w:rPr>
              <w:t>QA</w:t>
            </w:r>
          </w:p>
        </w:tc>
        <w:tc>
          <w:tcPr>
            <w:tcW w:type="dxa" w:w="2556"/>
            <w:vAlign w:val="center"/>
          </w:tcPr>
          <w:p>
            <w:r>
              <w:rPr>
                <w:sz w:val="15"/>
              </w:rPr>
              <w:t>________________</w:t>
            </w:r>
          </w:p>
        </w:tc>
        <w:tc>
          <w:tcPr>
            <w:tcW w:type="dxa" w:w="2556"/>
            <w:vAlign w:val="center"/>
          </w:tcPr>
          <w:p>
            <w:r>
              <w:rPr>
                <w:sz w:val="15"/>
              </w:rPr>
              <w:t>________________</w:t>
            </w:r>
          </w:p>
        </w:tc>
        <w:tc>
          <w:tcPr>
            <w:tcW w:type="dxa" w:w="2556"/>
            <w:vAlign w:val="center"/>
          </w:tcPr>
          <w:p>
            <w:r>
              <w:rPr>
                <w:sz w:val="15"/>
              </w:rPr>
              <w:t>____________</w:t>
            </w:r>
          </w:p>
        </w:tc>
      </w:tr>
      <w:tr>
        <w:tc>
          <w:tcPr>
            <w:tcW w:type="dxa" w:w="2556"/>
            <w:vAlign w:val="center"/>
          </w:tcPr>
          <w:p>
            <w:r>
              <w:rPr>
                <w:sz w:val="15"/>
              </w:rPr>
              <w:t>Validation/CSV</w:t>
            </w:r>
          </w:p>
        </w:tc>
        <w:tc>
          <w:tcPr>
            <w:tcW w:type="dxa" w:w="2556"/>
            <w:vAlign w:val="center"/>
          </w:tcPr>
          <w:p>
            <w:r>
              <w:rPr>
                <w:sz w:val="15"/>
              </w:rPr>
              <w:t>________________</w:t>
            </w:r>
          </w:p>
        </w:tc>
        <w:tc>
          <w:tcPr>
            <w:tcW w:type="dxa" w:w="2556"/>
            <w:vAlign w:val="center"/>
          </w:tcPr>
          <w:p>
            <w:r>
              <w:rPr>
                <w:sz w:val="15"/>
              </w:rPr>
              <w:t>________________</w:t>
            </w:r>
          </w:p>
        </w:tc>
        <w:tc>
          <w:tcPr>
            <w:tcW w:type="dxa" w:w="2556"/>
            <w:vAlign w:val="center"/>
          </w:tcPr>
          <w:p>
            <w:r>
              <w:rPr>
                <w:sz w:val="15"/>
              </w:rPr>
              <w:t>____________</w:t>
            </w:r>
          </w:p>
        </w:tc>
      </w:tr>
      <w:tr>
        <w:tc>
          <w:tcPr>
            <w:tcW w:type="dxa" w:w="2556"/>
            <w:vAlign w:val="center"/>
          </w:tcPr>
          <w:p>
            <w:r>
              <w:rPr>
                <w:sz w:val="15"/>
              </w:rPr>
              <w:t>Automation/IT</w:t>
            </w:r>
          </w:p>
        </w:tc>
        <w:tc>
          <w:tcPr>
            <w:tcW w:type="dxa" w:w="2556"/>
            <w:vAlign w:val="center"/>
          </w:tcPr>
          <w:p>
            <w:r>
              <w:rPr>
                <w:sz w:val="15"/>
              </w:rPr>
              <w:t>________________</w:t>
            </w:r>
          </w:p>
        </w:tc>
        <w:tc>
          <w:tcPr>
            <w:tcW w:type="dxa" w:w="2556"/>
            <w:vAlign w:val="center"/>
          </w:tcPr>
          <w:p>
            <w:r>
              <w:rPr>
                <w:sz w:val="15"/>
              </w:rPr>
              <w:t>________________</w:t>
            </w:r>
          </w:p>
        </w:tc>
        <w:tc>
          <w:tcPr>
            <w:tcW w:type="dxa" w:w="2556"/>
            <w:vAlign w:val="center"/>
          </w:tcPr>
          <w:p>
            <w:r>
              <w:rPr>
                <w:sz w:val="15"/>
              </w:rPr>
              <w:t>____________</w:t>
            </w:r>
          </w:p>
        </w:tc>
      </w:tr>
      <w:tr>
        <w:tc>
          <w:tcPr>
            <w:tcW w:type="dxa" w:w="2556"/>
            <w:vAlign w:val="center"/>
          </w:tcPr>
          <w:p>
            <w:r>
              <w:rPr>
                <w:sz w:val="15"/>
              </w:rPr>
              <w:t>EHS</w:t>
            </w:r>
          </w:p>
        </w:tc>
        <w:tc>
          <w:tcPr>
            <w:tcW w:type="dxa" w:w="2556"/>
            <w:vAlign w:val="center"/>
          </w:tcPr>
          <w:p>
            <w:r>
              <w:rPr>
                <w:sz w:val="15"/>
              </w:rPr>
              <w:t>________________</w:t>
            </w:r>
          </w:p>
        </w:tc>
        <w:tc>
          <w:tcPr>
            <w:tcW w:type="dxa" w:w="2556"/>
            <w:vAlign w:val="center"/>
          </w:tcPr>
          <w:p>
            <w:r>
              <w:rPr>
                <w:sz w:val="15"/>
              </w:rPr>
              <w:t>________________</w:t>
            </w:r>
          </w:p>
        </w:tc>
        <w:tc>
          <w:tcPr>
            <w:tcW w:type="dxa" w:w="2556"/>
            <w:vAlign w:val="center"/>
          </w:tcPr>
          <w:p>
            <w:r>
              <w:rPr>
                <w:sz w:val="15"/>
              </w:rPr>
              <w:t>____________</w:t>
            </w:r>
          </w:p>
        </w:tc>
      </w:tr>
      <w:tr>
        <w:tc>
          <w:tcPr>
            <w:tcW w:type="dxa" w:w="2556"/>
            <w:vAlign w:val="center"/>
          </w:tcPr>
          <w:p>
            <w:r>
              <w:rPr>
                <w:sz w:val="15"/>
              </w:rPr>
              <w:t>Project Management</w:t>
            </w:r>
          </w:p>
        </w:tc>
        <w:tc>
          <w:tcPr>
            <w:tcW w:type="dxa" w:w="2556"/>
            <w:vAlign w:val="center"/>
          </w:tcPr>
          <w:p>
            <w:r>
              <w:rPr>
                <w:sz w:val="15"/>
              </w:rPr>
              <w:t>________________</w:t>
            </w:r>
          </w:p>
        </w:tc>
        <w:tc>
          <w:tcPr>
            <w:tcW w:type="dxa" w:w="2556"/>
            <w:vAlign w:val="center"/>
          </w:tcPr>
          <w:p>
            <w:r>
              <w:rPr>
                <w:sz w:val="15"/>
              </w:rPr>
              <w:t>________________</w:t>
            </w:r>
          </w:p>
        </w:tc>
        <w:tc>
          <w:tcPr>
            <w:tcW w:type="dxa" w:w="2556"/>
            <w:vAlign w:val="center"/>
          </w:tcPr>
          <w:p>
            <w:r>
              <w:rPr>
                <w:sz w:val="15"/>
              </w:rPr>
              <w:t>____________</w:t>
            </w:r>
          </w:p>
        </w:tc>
      </w:tr>
    </w:tbl>
    <w:p/>
    <w:p>
      <w:pPr>
        <w:pStyle w:val="Heading1"/>
      </w:pPr>
      <w:r>
        <w:t>57. Project-Specific Data Sheet – To Be Completed Before Vendor RFQ</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shd w:fill="D9EAF7"/>
          </w:tcPr>
          <w:p>
            <w:r>
              <w:rPr>
                <w:b/>
                <w:sz w:val="15"/>
              </w:rPr>
              <w:t>Parameter</w:t>
            </w:r>
          </w:p>
        </w:tc>
        <w:tc>
          <w:tcPr>
            <w:tcW w:type="dxa" w:w="3408"/>
            <w:shd w:fill="D9EAF7"/>
          </w:tcPr>
          <w:p>
            <w:r>
              <w:rPr>
                <w:b/>
                <w:sz w:val="15"/>
              </w:rPr>
              <w:t>Project Requirement</w:t>
            </w:r>
          </w:p>
        </w:tc>
        <w:tc>
          <w:tcPr>
            <w:tcW w:type="dxa" w:w="3408"/>
            <w:shd w:fill="D9EAF7"/>
          </w:tcPr>
          <w:p>
            <w:r>
              <w:rPr>
                <w:b/>
                <w:sz w:val="15"/>
              </w:rPr>
              <w:t>Source/Justification</w:t>
            </w:r>
          </w:p>
        </w:tc>
      </w:tr>
      <w:tr>
        <w:tc>
          <w:tcPr>
            <w:tcW w:type="dxa" w:w="3408"/>
            <w:vAlign w:val="center"/>
          </w:tcPr>
          <w:p>
            <w:r>
              <w:rPr>
                <w:sz w:val="15"/>
              </w:rPr>
              <w:t>Product family</w:t>
            </w:r>
          </w:p>
        </w:tc>
        <w:tc>
          <w:tcPr>
            <w:tcW w:type="dxa" w:w="3408"/>
            <w:vAlign w:val="center"/>
          </w:tcPr>
          <w:p>
            <w:r>
              <w:rPr>
                <w:sz w:val="15"/>
              </w:rPr>
              <w:t>To be defined</w:t>
            </w:r>
          </w:p>
        </w:tc>
        <w:tc>
          <w:tcPr>
            <w:tcW w:type="dxa" w:w="3408"/>
            <w:vAlign w:val="center"/>
          </w:tcPr>
          <w:p>
            <w:r>
              <w:rPr>
                <w:sz w:val="15"/>
              </w:rPr>
              <w:t>Manufacturing plan</w:t>
            </w:r>
          </w:p>
        </w:tc>
      </w:tr>
      <w:tr>
        <w:tc>
          <w:tcPr>
            <w:tcW w:type="dxa" w:w="3408"/>
            <w:vAlign w:val="center"/>
          </w:tcPr>
          <w:p>
            <w:r>
              <w:rPr>
                <w:sz w:val="15"/>
              </w:rPr>
              <w:t>Tablet dimensions</w:t>
            </w:r>
          </w:p>
        </w:tc>
        <w:tc>
          <w:tcPr>
            <w:tcW w:type="dxa" w:w="3408"/>
            <w:vAlign w:val="center"/>
          </w:tcPr>
          <w:p>
            <w:r>
              <w:rPr>
                <w:sz w:val="15"/>
              </w:rPr>
              <w:t>To be defined</w:t>
            </w:r>
          </w:p>
        </w:tc>
        <w:tc>
          <w:tcPr>
            <w:tcW w:type="dxa" w:w="3408"/>
            <w:vAlign w:val="center"/>
          </w:tcPr>
          <w:p>
            <w:r>
              <w:rPr>
                <w:sz w:val="15"/>
              </w:rPr>
              <w:t>Product specification</w:t>
            </w:r>
          </w:p>
        </w:tc>
      </w:tr>
      <w:tr>
        <w:tc>
          <w:tcPr>
            <w:tcW w:type="dxa" w:w="3408"/>
            <w:vAlign w:val="center"/>
          </w:tcPr>
          <w:p>
            <w:r>
              <w:rPr>
                <w:sz w:val="15"/>
              </w:rPr>
              <w:t>Batch size range</w:t>
            </w:r>
          </w:p>
        </w:tc>
        <w:tc>
          <w:tcPr>
            <w:tcW w:type="dxa" w:w="3408"/>
            <w:vAlign w:val="center"/>
          </w:tcPr>
          <w:p>
            <w:r>
              <w:rPr>
                <w:sz w:val="15"/>
              </w:rPr>
              <w:t>To be defined</w:t>
            </w:r>
          </w:p>
        </w:tc>
        <w:tc>
          <w:tcPr>
            <w:tcW w:type="dxa" w:w="3408"/>
            <w:vAlign w:val="center"/>
          </w:tcPr>
          <w:p>
            <w:r>
              <w:rPr>
                <w:sz w:val="15"/>
              </w:rPr>
              <w:t>Manufacturing plan</w:t>
            </w:r>
          </w:p>
        </w:tc>
      </w:tr>
      <w:tr>
        <w:tc>
          <w:tcPr>
            <w:tcW w:type="dxa" w:w="3408"/>
            <w:vAlign w:val="center"/>
          </w:tcPr>
          <w:p>
            <w:r>
              <w:rPr>
                <w:sz w:val="15"/>
              </w:rPr>
              <w:t>Target tablet weight</w:t>
            </w:r>
          </w:p>
        </w:tc>
        <w:tc>
          <w:tcPr>
            <w:tcW w:type="dxa" w:w="3408"/>
            <w:vAlign w:val="center"/>
          </w:tcPr>
          <w:p>
            <w:r>
              <w:rPr>
                <w:sz w:val="15"/>
              </w:rPr>
              <w:t>To be defined</w:t>
            </w:r>
          </w:p>
        </w:tc>
        <w:tc>
          <w:tcPr>
            <w:tcW w:type="dxa" w:w="3408"/>
            <w:vAlign w:val="center"/>
          </w:tcPr>
          <w:p>
            <w:r>
              <w:rPr>
                <w:sz w:val="15"/>
              </w:rPr>
              <w:t>Product specification</w:t>
            </w:r>
          </w:p>
        </w:tc>
      </w:tr>
      <w:tr>
        <w:tc>
          <w:tcPr>
            <w:tcW w:type="dxa" w:w="3408"/>
            <w:vAlign w:val="center"/>
          </w:tcPr>
          <w:p>
            <w:r>
              <w:rPr>
                <w:sz w:val="15"/>
              </w:rPr>
              <w:t>Target thickness</w:t>
            </w:r>
          </w:p>
        </w:tc>
        <w:tc>
          <w:tcPr>
            <w:tcW w:type="dxa" w:w="3408"/>
            <w:vAlign w:val="center"/>
          </w:tcPr>
          <w:p>
            <w:r>
              <w:rPr>
                <w:sz w:val="15"/>
              </w:rPr>
              <w:t>To be defined</w:t>
            </w:r>
          </w:p>
        </w:tc>
        <w:tc>
          <w:tcPr>
            <w:tcW w:type="dxa" w:w="3408"/>
            <w:vAlign w:val="center"/>
          </w:tcPr>
          <w:p>
            <w:r>
              <w:rPr>
                <w:sz w:val="15"/>
              </w:rPr>
              <w:t>Product specification</w:t>
            </w:r>
          </w:p>
        </w:tc>
      </w:tr>
      <w:tr>
        <w:tc>
          <w:tcPr>
            <w:tcW w:type="dxa" w:w="3408"/>
            <w:vAlign w:val="center"/>
          </w:tcPr>
          <w:p>
            <w:r>
              <w:rPr>
                <w:sz w:val="15"/>
              </w:rPr>
              <w:t>Tooling standard</w:t>
            </w:r>
          </w:p>
        </w:tc>
        <w:tc>
          <w:tcPr>
            <w:tcW w:type="dxa" w:w="3408"/>
            <w:vAlign w:val="center"/>
          </w:tcPr>
          <w:p>
            <w:r>
              <w:rPr>
                <w:sz w:val="15"/>
              </w:rPr>
              <w:t>To be defined</w:t>
            </w:r>
          </w:p>
        </w:tc>
        <w:tc>
          <w:tcPr>
            <w:tcW w:type="dxa" w:w="3408"/>
            <w:vAlign w:val="center"/>
          </w:tcPr>
          <w:p>
            <w:r>
              <w:rPr>
                <w:sz w:val="15"/>
              </w:rPr>
              <w:t>Engineering/process</w:t>
            </w:r>
          </w:p>
        </w:tc>
      </w:tr>
      <w:tr>
        <w:tc>
          <w:tcPr>
            <w:tcW w:type="dxa" w:w="3408"/>
            <w:vAlign w:val="center"/>
          </w:tcPr>
          <w:p>
            <w:r>
              <w:rPr>
                <w:sz w:val="15"/>
              </w:rPr>
              <w:t>Compression force range</w:t>
            </w:r>
          </w:p>
        </w:tc>
        <w:tc>
          <w:tcPr>
            <w:tcW w:type="dxa" w:w="3408"/>
            <w:vAlign w:val="center"/>
          </w:tcPr>
          <w:p>
            <w:r>
              <w:rPr>
                <w:sz w:val="15"/>
              </w:rPr>
              <w:t>To be defined</w:t>
            </w:r>
          </w:p>
        </w:tc>
        <w:tc>
          <w:tcPr>
            <w:tcW w:type="dxa" w:w="3408"/>
            <w:vAlign w:val="center"/>
          </w:tcPr>
          <w:p>
            <w:r>
              <w:rPr>
                <w:sz w:val="15"/>
              </w:rPr>
              <w:t>Process development</w:t>
            </w:r>
          </w:p>
        </w:tc>
      </w:tr>
      <w:tr>
        <w:tc>
          <w:tcPr>
            <w:tcW w:type="dxa" w:w="3408"/>
            <w:vAlign w:val="center"/>
          </w:tcPr>
          <w:p>
            <w:r>
              <w:rPr>
                <w:sz w:val="15"/>
              </w:rPr>
              <w:t>Turret speed range</w:t>
            </w:r>
          </w:p>
        </w:tc>
        <w:tc>
          <w:tcPr>
            <w:tcW w:type="dxa" w:w="3408"/>
            <w:vAlign w:val="center"/>
          </w:tcPr>
          <w:p>
            <w:r>
              <w:rPr>
                <w:sz w:val="15"/>
              </w:rPr>
              <w:t>To be defined</w:t>
            </w:r>
          </w:p>
        </w:tc>
        <w:tc>
          <w:tcPr>
            <w:tcW w:type="dxa" w:w="3408"/>
            <w:vAlign w:val="center"/>
          </w:tcPr>
          <w:p>
            <w:r>
              <w:rPr>
                <w:sz w:val="15"/>
              </w:rPr>
              <w:t>Process development</w:t>
            </w:r>
          </w:p>
        </w:tc>
      </w:tr>
      <w:tr>
        <w:tc>
          <w:tcPr>
            <w:tcW w:type="dxa" w:w="3408"/>
            <w:vAlign w:val="center"/>
          </w:tcPr>
          <w:p>
            <w:r>
              <w:rPr>
                <w:sz w:val="15"/>
              </w:rPr>
              <w:t>Feeder speed range</w:t>
            </w:r>
          </w:p>
        </w:tc>
        <w:tc>
          <w:tcPr>
            <w:tcW w:type="dxa" w:w="3408"/>
            <w:vAlign w:val="center"/>
          </w:tcPr>
          <w:p>
            <w:r>
              <w:rPr>
                <w:sz w:val="15"/>
              </w:rPr>
              <w:t>To be defined</w:t>
            </w:r>
          </w:p>
        </w:tc>
        <w:tc>
          <w:tcPr>
            <w:tcW w:type="dxa" w:w="3408"/>
            <w:vAlign w:val="center"/>
          </w:tcPr>
          <w:p>
            <w:r>
              <w:rPr>
                <w:sz w:val="15"/>
              </w:rPr>
              <w:t>Process development</w:t>
            </w:r>
          </w:p>
        </w:tc>
      </w:tr>
      <w:tr>
        <w:tc>
          <w:tcPr>
            <w:tcW w:type="dxa" w:w="3408"/>
            <w:vAlign w:val="center"/>
          </w:tcPr>
          <w:p>
            <w:r>
              <w:rPr>
                <w:sz w:val="15"/>
              </w:rPr>
              <w:t>Weight-control strategy</w:t>
            </w:r>
          </w:p>
        </w:tc>
        <w:tc>
          <w:tcPr>
            <w:tcW w:type="dxa" w:w="3408"/>
            <w:vAlign w:val="center"/>
          </w:tcPr>
          <w:p>
            <w:r>
              <w:rPr>
                <w:sz w:val="15"/>
              </w:rPr>
              <w:t>To be defined</w:t>
            </w:r>
          </w:p>
        </w:tc>
        <w:tc>
          <w:tcPr>
            <w:tcW w:type="dxa" w:w="3408"/>
            <w:vAlign w:val="center"/>
          </w:tcPr>
          <w:p>
            <w:r>
              <w:rPr>
                <w:sz w:val="15"/>
              </w:rPr>
              <w:t>Process/control strategy</w:t>
            </w:r>
          </w:p>
        </w:tc>
      </w:tr>
      <w:tr>
        <w:tc>
          <w:tcPr>
            <w:tcW w:type="dxa" w:w="3408"/>
            <w:vAlign w:val="center"/>
          </w:tcPr>
          <w:p>
            <w:r>
              <w:rPr>
                <w:sz w:val="15"/>
              </w:rPr>
              <w:t>Dust-extraction requirement</w:t>
            </w:r>
          </w:p>
        </w:tc>
        <w:tc>
          <w:tcPr>
            <w:tcW w:type="dxa" w:w="3408"/>
            <w:vAlign w:val="center"/>
          </w:tcPr>
          <w:p>
            <w:r>
              <w:rPr>
                <w:sz w:val="15"/>
              </w:rPr>
              <w:t>To be defined</w:t>
            </w:r>
          </w:p>
        </w:tc>
        <w:tc>
          <w:tcPr>
            <w:tcW w:type="dxa" w:w="3408"/>
            <w:vAlign w:val="center"/>
          </w:tcPr>
          <w:p>
            <w:r>
              <w:rPr>
                <w:sz w:val="15"/>
              </w:rPr>
              <w:t>Facility/EHS engineering</w:t>
            </w:r>
          </w:p>
        </w:tc>
      </w:tr>
      <w:tr>
        <w:tc>
          <w:tcPr>
            <w:tcW w:type="dxa" w:w="3408"/>
            <w:vAlign w:val="center"/>
          </w:tcPr>
          <w:p>
            <w:r>
              <w:rPr>
                <w:sz w:val="15"/>
              </w:rPr>
              <w:t>Containment requirement</w:t>
            </w:r>
          </w:p>
        </w:tc>
        <w:tc>
          <w:tcPr>
            <w:tcW w:type="dxa" w:w="3408"/>
            <w:vAlign w:val="center"/>
          </w:tcPr>
          <w:p>
            <w:r>
              <w:rPr>
                <w:sz w:val="15"/>
              </w:rPr>
              <w:t>To be defined</w:t>
            </w:r>
          </w:p>
        </w:tc>
        <w:tc>
          <w:tcPr>
            <w:tcW w:type="dxa" w:w="3408"/>
            <w:vAlign w:val="center"/>
          </w:tcPr>
          <w:p>
            <w:r>
              <w:rPr>
                <w:sz w:val="15"/>
              </w:rPr>
              <w:t>Toxicological/HBEL assessment</w:t>
            </w:r>
          </w:p>
        </w:tc>
      </w:tr>
      <w:tr>
        <w:tc>
          <w:tcPr>
            <w:tcW w:type="dxa" w:w="3408"/>
            <w:vAlign w:val="center"/>
          </w:tcPr>
          <w:p>
            <w:r>
              <w:rPr>
                <w:sz w:val="15"/>
              </w:rPr>
              <w:t>Utilities</w:t>
            </w:r>
          </w:p>
        </w:tc>
        <w:tc>
          <w:tcPr>
            <w:tcW w:type="dxa" w:w="3408"/>
            <w:vAlign w:val="center"/>
          </w:tcPr>
          <w:p>
            <w:r>
              <w:rPr>
                <w:sz w:val="15"/>
              </w:rPr>
              <w:t>To be defined</w:t>
            </w:r>
          </w:p>
        </w:tc>
        <w:tc>
          <w:tcPr>
            <w:tcW w:type="dxa" w:w="3408"/>
            <w:vAlign w:val="center"/>
          </w:tcPr>
          <w:p>
            <w:r>
              <w:rPr>
                <w:sz w:val="15"/>
              </w:rPr>
              <w:t>Engineering</w:t>
            </w:r>
          </w:p>
        </w:tc>
      </w:tr>
      <w:tr>
        <w:tc>
          <w:tcPr>
            <w:tcW w:type="dxa" w:w="3408"/>
            <w:vAlign w:val="center"/>
          </w:tcPr>
          <w:p>
            <w:r>
              <w:rPr>
                <w:sz w:val="15"/>
              </w:rPr>
              <w:t>SCADA/MES/eBR interface</w:t>
            </w:r>
          </w:p>
        </w:tc>
        <w:tc>
          <w:tcPr>
            <w:tcW w:type="dxa" w:w="3408"/>
            <w:vAlign w:val="center"/>
          </w:tcPr>
          <w:p>
            <w:r>
              <w:rPr>
                <w:sz w:val="15"/>
              </w:rPr>
              <w:t>To be defined</w:t>
            </w:r>
          </w:p>
        </w:tc>
        <w:tc>
          <w:tcPr>
            <w:tcW w:type="dxa" w:w="3408"/>
            <w:vAlign w:val="center"/>
          </w:tcPr>
          <w:p>
            <w:r>
              <w:rPr>
                <w:sz w:val="15"/>
              </w:rPr>
              <w:t>Automation/IT</w:t>
            </w:r>
          </w:p>
        </w:tc>
      </w:tr>
      <w:tr>
        <w:tc>
          <w:tcPr>
            <w:tcW w:type="dxa" w:w="3408"/>
            <w:vAlign w:val="center"/>
          </w:tcPr>
          <w:p>
            <w:r>
              <w:rPr>
                <w:sz w:val="15"/>
              </w:rPr>
              <w:t>Electronic record strategy</w:t>
            </w:r>
          </w:p>
        </w:tc>
        <w:tc>
          <w:tcPr>
            <w:tcW w:type="dxa" w:w="3408"/>
            <w:vAlign w:val="center"/>
          </w:tcPr>
          <w:p>
            <w:r>
              <w:rPr>
                <w:sz w:val="15"/>
              </w:rPr>
              <w:t>To be defined</w:t>
            </w:r>
          </w:p>
        </w:tc>
        <w:tc>
          <w:tcPr>
            <w:tcW w:type="dxa" w:w="3408"/>
            <w:vAlign w:val="center"/>
          </w:tcPr>
          <w:p>
            <w:r>
              <w:rPr>
                <w:sz w:val="15"/>
              </w:rPr>
              <w:t>QA/CSV</w:t>
            </w:r>
          </w:p>
        </w:tc>
      </w:tr>
    </w:tbl>
    <w:p/>
    <w:p>
      <w:pPr>
        <w:pStyle w:val="Heading1"/>
      </w:pPr>
      <w:r>
        <w:t>58. Important Regulatory Drafting Note</w:t>
      </w:r>
    </w:p>
    <w:p>
      <w:r>
        <w:t>Do not use a generic statement such as “The tablet compression machine shall be 21 CFR Part 11 compliant.” Instead, the URS should require a documented applicability assessment and, where applicable, controls for electronic records, electronic signatures, access, authority checks, operational checks, audit trails, data protection and record retention/retrieval. FDA's current guidance states that Part 11 applies to certain electronic records/signatures and that the underlying predicate rules remain applicable.</w:t>
      </w:r>
    </w:p>
    <w:p>
      <w:r>
        <w:t>For EU GMP, the current EudraLex Volume 4 page identifies Annex 11 (Computerised Systems) and Annex 15 (Qualification and Validation). The current Annex 11 text emphasizes risk-based qualification/validation, traceability to requirements, testing of data-integrity functionality, access privileges, audit trails, alarms, interfaces and backup restoration.</w:t>
      </w:r>
    </w:p>
    <w:p>
      <w:pPr>
        <w:pStyle w:val="Heading1"/>
      </w:pPr>
      <w:r>
        <w:t>59. SEO Package for Educational Publication</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D9EAF7"/>
          </w:tcPr>
          <w:p>
            <w:r>
              <w:rPr>
                <w:b/>
                <w:sz w:val="15"/>
              </w:rPr>
              <w:t>SEO Element</w:t>
            </w:r>
          </w:p>
        </w:tc>
        <w:tc>
          <w:tcPr>
            <w:tcW w:type="dxa" w:w="5112"/>
            <w:shd w:fill="D9EAF7"/>
          </w:tcPr>
          <w:p>
            <w:r>
              <w:rPr>
                <w:b/>
                <w:sz w:val="15"/>
              </w:rPr>
              <w:t>Recommended Content</w:t>
            </w:r>
          </w:p>
        </w:tc>
      </w:tr>
      <w:tr>
        <w:tc>
          <w:tcPr>
            <w:tcW w:type="dxa" w:w="5112"/>
            <w:vAlign w:val="center"/>
          </w:tcPr>
          <w:p>
            <w:r>
              <w:rPr>
                <w:sz w:val="15"/>
              </w:rPr>
              <w:t>SEO Title</w:t>
            </w:r>
          </w:p>
        </w:tc>
        <w:tc>
          <w:tcPr>
            <w:tcW w:type="dxa" w:w="5112"/>
            <w:vAlign w:val="center"/>
          </w:tcPr>
          <w:p>
            <w:r>
              <w:rPr>
                <w:sz w:val="15"/>
              </w:rPr>
              <w:t>URS for Tablet Compression Machine: Complete GMP, CSV &amp; Qualification Guide</w:t>
            </w:r>
          </w:p>
        </w:tc>
      </w:tr>
      <w:tr>
        <w:tc>
          <w:tcPr>
            <w:tcW w:type="dxa" w:w="5112"/>
            <w:vAlign w:val="center"/>
          </w:tcPr>
          <w:p>
            <w:r>
              <w:rPr>
                <w:sz w:val="15"/>
              </w:rPr>
              <w:t>Primary Keyword</w:t>
            </w:r>
          </w:p>
        </w:tc>
        <w:tc>
          <w:tcPr>
            <w:tcW w:type="dxa" w:w="5112"/>
            <w:vAlign w:val="center"/>
          </w:tcPr>
          <w:p>
            <w:r>
              <w:rPr>
                <w:sz w:val="15"/>
              </w:rPr>
              <w:t>URS for Tablet Compression Machine</w:t>
            </w:r>
          </w:p>
        </w:tc>
      </w:tr>
      <w:tr>
        <w:tc>
          <w:tcPr>
            <w:tcW w:type="dxa" w:w="5112"/>
            <w:vAlign w:val="center"/>
          </w:tcPr>
          <w:p>
            <w:r>
              <w:rPr>
                <w:sz w:val="15"/>
              </w:rPr>
              <w:t>Meta Description</w:t>
            </w:r>
          </w:p>
        </w:tc>
        <w:tc>
          <w:tcPr>
            <w:tcW w:type="dxa" w:w="5112"/>
            <w:vAlign w:val="center"/>
          </w:tcPr>
          <w:p>
            <w:r>
              <w:rPr>
                <w:sz w:val="15"/>
              </w:rPr>
              <w:t>Comprehensive URS for a pharmaceutical tablet compression machine covering GMP, tooling, compression, automation, CSV, 21 CFR Part 11, EU Annex 11, data integrity, FAT, SAT, IQ, OQ and PQ.</w:t>
            </w:r>
          </w:p>
        </w:tc>
      </w:tr>
      <w:tr>
        <w:tc>
          <w:tcPr>
            <w:tcW w:type="dxa" w:w="5112"/>
            <w:vAlign w:val="center"/>
          </w:tcPr>
          <w:p>
            <w:r>
              <w:rPr>
                <w:sz w:val="15"/>
              </w:rPr>
              <w:t>Suggested URL Slug</w:t>
            </w:r>
          </w:p>
        </w:tc>
        <w:tc>
          <w:tcPr>
            <w:tcW w:type="dxa" w:w="5112"/>
            <w:vAlign w:val="center"/>
          </w:tcPr>
          <w:p>
            <w:r>
              <w:rPr>
                <w:sz w:val="15"/>
              </w:rPr>
              <w:t>/urs-for-tablet-compression-machine/</w:t>
            </w:r>
          </w:p>
        </w:tc>
      </w:tr>
      <w:tr>
        <w:tc>
          <w:tcPr>
            <w:tcW w:type="dxa" w:w="5112"/>
            <w:vAlign w:val="center"/>
          </w:tcPr>
          <w:p>
            <w:r>
              <w:rPr>
                <w:sz w:val="15"/>
              </w:rPr>
              <w:t>Suggested H1</w:t>
            </w:r>
          </w:p>
        </w:tc>
        <w:tc>
          <w:tcPr>
            <w:tcW w:type="dxa" w:w="5112"/>
            <w:vAlign w:val="center"/>
          </w:tcPr>
          <w:p>
            <w:r>
              <w:rPr>
                <w:sz w:val="15"/>
              </w:rPr>
              <w:t>URS for Tablet Compression Machine – GMP, CSV &amp; Qualification Requirements</w:t>
            </w:r>
          </w:p>
        </w:tc>
      </w:tr>
      <w:tr>
        <w:tc>
          <w:tcPr>
            <w:tcW w:type="dxa" w:w="5112"/>
            <w:vAlign w:val="center"/>
          </w:tcPr>
          <w:p>
            <w:r>
              <w:rPr>
                <w:sz w:val="15"/>
              </w:rPr>
              <w:t>Suggested Image ALT</w:t>
            </w:r>
          </w:p>
        </w:tc>
        <w:tc>
          <w:tcPr>
            <w:tcW w:type="dxa" w:w="5112"/>
            <w:vAlign w:val="center"/>
          </w:tcPr>
          <w:p>
            <w:r>
              <w:rPr>
                <w:sz w:val="15"/>
              </w:rPr>
              <w:t>URS for pharmaceutical tablet compression machine with GMP, automation and CSV requirements</w:t>
            </w:r>
          </w:p>
        </w:tc>
      </w:tr>
      <w:tr>
        <w:tc>
          <w:tcPr>
            <w:tcW w:type="dxa" w:w="5112"/>
            <w:vAlign w:val="center"/>
          </w:tcPr>
          <w:p>
            <w:r>
              <w:rPr>
                <w:sz w:val="15"/>
              </w:rPr>
              <w:t>Suggested Internal Links</w:t>
            </w:r>
          </w:p>
        </w:tc>
        <w:tc>
          <w:tcPr>
            <w:tcW w:type="dxa" w:w="5112"/>
            <w:vAlign w:val="center"/>
          </w:tcPr>
          <w:p>
            <w:r>
              <w:rPr>
                <w:sz w:val="15"/>
              </w:rPr>
              <w:t>Tablet Manufacturing Process; GMP; Equipment Qualification; CSV; Data Integrity; Pharmaceutical HVAC; Environmental Monitoring</w:t>
            </w:r>
          </w:p>
        </w:tc>
      </w:tr>
    </w:tbl>
    <w:p/>
    <w:p>
      <w:r>
        <w:t>Use the primary keyword naturally. Avoid keyword stuffing. Support the educational article with authoritative regulatory references, practical tables, original diagrams/images and E-E-A-T signals.</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CM-URS-001 | Tablet Compression Machine URS | Revision 00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